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2B6D" w14:textId="77777777" w:rsidR="00D13960" w:rsidRPr="003B1D3B" w:rsidRDefault="00D1396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5271"/>
      </w:tblGrid>
      <w:tr w:rsidR="00D13960" w:rsidRPr="003B1D3B" w14:paraId="4FD4FED6" w14:textId="77777777" w:rsidTr="00A83EDA">
        <w:tc>
          <w:tcPr>
            <w:tcW w:w="4140" w:type="dxa"/>
          </w:tcPr>
          <w:p w14:paraId="0031DFB9" w14:textId="39414233" w:rsidR="00D13960" w:rsidRPr="003B1D3B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B1D3B">
              <w:rPr>
                <w:rFonts w:ascii="Arial" w:hAnsi="Arial" w:cs="Arial"/>
                <w:color w:val="00B0F0"/>
                <w:sz w:val="20"/>
                <w:szCs w:val="20"/>
              </w:rPr>
              <w:t>[Insurance Company]</w:t>
            </w:r>
          </w:p>
        </w:tc>
        <w:tc>
          <w:tcPr>
            <w:tcW w:w="5310" w:type="dxa"/>
          </w:tcPr>
          <w:p w14:paraId="14605CCE" w14:textId="75B305AE" w:rsidR="00D13960" w:rsidRPr="00B23AD5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23AD5">
              <w:rPr>
                <w:rFonts w:ascii="Arial" w:hAnsi="Arial" w:cs="Arial"/>
                <w:sz w:val="20"/>
                <w:szCs w:val="20"/>
              </w:rPr>
              <w:t>Re:</w:t>
            </w:r>
            <w:r w:rsidRPr="00B23AD5">
              <w:rPr>
                <w:rFonts w:ascii="Arial" w:hAnsi="Arial" w:cs="Arial"/>
                <w:color w:val="00B0F0"/>
                <w:sz w:val="20"/>
                <w:szCs w:val="20"/>
              </w:rPr>
              <w:tab/>
              <w:t>Patient Name:</w:t>
            </w:r>
            <w:r w:rsidRPr="00B23AD5">
              <w:rPr>
                <w:rFonts w:ascii="Arial" w:hAnsi="Arial" w:cs="Arial"/>
                <w:color w:val="00B0F0"/>
                <w:sz w:val="20"/>
                <w:szCs w:val="20"/>
              </w:rPr>
              <w:tab/>
              <w:t>________________________</w:t>
            </w:r>
            <w:r w:rsidR="00A83EDA" w:rsidRPr="00B23AD5">
              <w:rPr>
                <w:rFonts w:ascii="Arial" w:hAnsi="Arial" w:cs="Arial"/>
                <w:color w:val="00B0F0"/>
                <w:sz w:val="20"/>
                <w:szCs w:val="20"/>
              </w:rPr>
              <w:t>__</w:t>
            </w:r>
          </w:p>
        </w:tc>
      </w:tr>
      <w:tr w:rsidR="00D13960" w:rsidRPr="003B1D3B" w14:paraId="2935F2C7" w14:textId="77777777" w:rsidTr="00A83EDA">
        <w:tc>
          <w:tcPr>
            <w:tcW w:w="4140" w:type="dxa"/>
          </w:tcPr>
          <w:p w14:paraId="2D465E78" w14:textId="50D63ED1" w:rsidR="00D13960" w:rsidRPr="003B1D3B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B1D3B">
              <w:rPr>
                <w:rFonts w:ascii="Arial" w:hAnsi="Arial" w:cs="Arial"/>
                <w:color w:val="00B0F0"/>
                <w:sz w:val="20"/>
                <w:szCs w:val="20"/>
              </w:rPr>
              <w:t>[Address Line 1]</w:t>
            </w:r>
          </w:p>
        </w:tc>
        <w:tc>
          <w:tcPr>
            <w:tcW w:w="5310" w:type="dxa"/>
          </w:tcPr>
          <w:p w14:paraId="7FA2F24A" w14:textId="6FEDCFF5" w:rsidR="00D13960" w:rsidRPr="00B23AD5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23AD5">
              <w:rPr>
                <w:rFonts w:ascii="Arial" w:hAnsi="Arial" w:cs="Arial"/>
                <w:color w:val="00B0F0"/>
                <w:sz w:val="20"/>
                <w:szCs w:val="20"/>
              </w:rPr>
              <w:tab/>
              <w:t xml:space="preserve">Policy ID: </w:t>
            </w:r>
            <w:r w:rsidRPr="00B23AD5">
              <w:rPr>
                <w:rFonts w:ascii="Arial" w:hAnsi="Arial" w:cs="Arial"/>
                <w:color w:val="00B0F0"/>
                <w:sz w:val="20"/>
                <w:szCs w:val="20"/>
              </w:rPr>
              <w:tab/>
              <w:t>________________________</w:t>
            </w:r>
            <w:r w:rsidR="00A83EDA" w:rsidRPr="00B23AD5">
              <w:rPr>
                <w:rFonts w:ascii="Arial" w:hAnsi="Arial" w:cs="Arial"/>
                <w:color w:val="00B0F0"/>
                <w:sz w:val="20"/>
                <w:szCs w:val="20"/>
              </w:rPr>
              <w:t>__</w:t>
            </w:r>
          </w:p>
        </w:tc>
      </w:tr>
      <w:tr w:rsidR="00D13960" w:rsidRPr="003B1D3B" w14:paraId="3DA5EF19" w14:textId="77777777" w:rsidTr="00A83EDA">
        <w:tc>
          <w:tcPr>
            <w:tcW w:w="4140" w:type="dxa"/>
          </w:tcPr>
          <w:p w14:paraId="00BF634B" w14:textId="21D274EA" w:rsidR="00D13960" w:rsidRPr="003B1D3B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B1D3B">
              <w:rPr>
                <w:rFonts w:ascii="Arial" w:hAnsi="Arial" w:cs="Arial"/>
                <w:color w:val="00B0F0"/>
                <w:sz w:val="20"/>
                <w:szCs w:val="20"/>
              </w:rPr>
              <w:t>[Address Line 2]</w:t>
            </w:r>
          </w:p>
        </w:tc>
        <w:tc>
          <w:tcPr>
            <w:tcW w:w="5310" w:type="dxa"/>
          </w:tcPr>
          <w:p w14:paraId="4950D91C" w14:textId="73D1ADF7" w:rsidR="00D13960" w:rsidRPr="00B23AD5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23AD5">
              <w:rPr>
                <w:rFonts w:ascii="Arial" w:hAnsi="Arial" w:cs="Arial"/>
                <w:color w:val="00B0F0"/>
                <w:sz w:val="20"/>
                <w:szCs w:val="20"/>
              </w:rPr>
              <w:tab/>
              <w:t>Policy Group:</w:t>
            </w:r>
            <w:r w:rsidRPr="00B23AD5">
              <w:rPr>
                <w:rFonts w:ascii="Arial" w:hAnsi="Arial" w:cs="Arial"/>
                <w:color w:val="00B0F0"/>
                <w:sz w:val="20"/>
                <w:szCs w:val="20"/>
              </w:rPr>
              <w:tab/>
              <w:t>________________________</w:t>
            </w:r>
            <w:r w:rsidR="00A83EDA" w:rsidRPr="00B23AD5">
              <w:rPr>
                <w:rFonts w:ascii="Arial" w:hAnsi="Arial" w:cs="Arial"/>
                <w:color w:val="00B0F0"/>
                <w:sz w:val="20"/>
                <w:szCs w:val="20"/>
              </w:rPr>
              <w:t>__</w:t>
            </w:r>
          </w:p>
        </w:tc>
      </w:tr>
      <w:tr w:rsidR="00D13960" w:rsidRPr="003B1D3B" w14:paraId="4653CBCA" w14:textId="77777777" w:rsidTr="00A83EDA">
        <w:tc>
          <w:tcPr>
            <w:tcW w:w="4140" w:type="dxa"/>
          </w:tcPr>
          <w:p w14:paraId="446844B3" w14:textId="77777777" w:rsidR="00D13960" w:rsidRPr="003B1D3B" w:rsidRDefault="00D13960" w:rsidP="00D139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F20546D" w14:textId="3D43F9C4" w:rsidR="00D13960" w:rsidRPr="00B23AD5" w:rsidRDefault="00D13960" w:rsidP="00D13960">
            <w:pPr>
              <w:spacing w:before="20" w:after="2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23AD5">
              <w:rPr>
                <w:rFonts w:ascii="Arial" w:hAnsi="Arial" w:cs="Arial"/>
                <w:color w:val="00B0F0"/>
                <w:sz w:val="20"/>
                <w:szCs w:val="20"/>
              </w:rPr>
              <w:tab/>
              <w:t>Date of Birth:</w:t>
            </w:r>
            <w:r w:rsidRPr="00B23AD5">
              <w:rPr>
                <w:rFonts w:ascii="Arial" w:hAnsi="Arial" w:cs="Arial"/>
                <w:color w:val="00B0F0"/>
                <w:sz w:val="20"/>
                <w:szCs w:val="20"/>
              </w:rPr>
              <w:tab/>
              <w:t>________________________</w:t>
            </w:r>
            <w:r w:rsidR="00A83EDA" w:rsidRPr="00B23AD5">
              <w:rPr>
                <w:rFonts w:ascii="Arial" w:hAnsi="Arial" w:cs="Arial"/>
                <w:color w:val="00B0F0"/>
                <w:sz w:val="20"/>
                <w:szCs w:val="20"/>
              </w:rPr>
              <w:t>__</w:t>
            </w:r>
          </w:p>
        </w:tc>
      </w:tr>
    </w:tbl>
    <w:p w14:paraId="08B36873" w14:textId="65BAB3F4" w:rsidR="00D13960" w:rsidRPr="003B1D3B" w:rsidRDefault="00D13960" w:rsidP="00D13960">
      <w:pPr>
        <w:rPr>
          <w:rFonts w:ascii="Arial" w:hAnsi="Arial" w:cs="Arial"/>
          <w:color w:val="00B0F0"/>
          <w:sz w:val="21"/>
          <w:szCs w:val="21"/>
        </w:rPr>
      </w:pPr>
      <w:r w:rsidRPr="003B1D3B">
        <w:rPr>
          <w:rFonts w:ascii="Arial" w:hAnsi="Arial" w:cs="Arial"/>
          <w:color w:val="00B0F0"/>
          <w:sz w:val="21"/>
          <w:szCs w:val="21"/>
        </w:rPr>
        <w:t>[Date]</w:t>
      </w:r>
    </w:p>
    <w:p w14:paraId="46968FFA" w14:textId="77777777" w:rsidR="00D13960" w:rsidRPr="004466B7" w:rsidRDefault="00D13960" w:rsidP="00D13960">
      <w:pPr>
        <w:rPr>
          <w:rFonts w:ascii="Arial" w:hAnsi="Arial" w:cs="Arial"/>
          <w:sz w:val="21"/>
          <w:szCs w:val="21"/>
        </w:rPr>
      </w:pPr>
    </w:p>
    <w:p w14:paraId="4A31B9A6" w14:textId="77777777" w:rsidR="00616B96" w:rsidRPr="004466B7" w:rsidRDefault="00616B96" w:rsidP="00616B96">
      <w:pPr>
        <w:rPr>
          <w:rFonts w:ascii="Arial" w:hAnsi="Arial" w:cs="Arial"/>
          <w:color w:val="00B0F0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 xml:space="preserve">Attn: </w:t>
      </w:r>
      <w:r w:rsidRPr="004466B7">
        <w:rPr>
          <w:rFonts w:ascii="Arial" w:hAnsi="Arial" w:cs="Arial"/>
          <w:color w:val="00B0F0"/>
          <w:sz w:val="21"/>
          <w:szCs w:val="21"/>
        </w:rPr>
        <w:t>[Medical/Pharmacy Director]</w:t>
      </w:r>
      <w:r w:rsidRPr="00CC4295">
        <w:rPr>
          <w:rFonts w:ascii="Arial" w:hAnsi="Arial" w:cs="Arial"/>
          <w:sz w:val="21"/>
          <w:szCs w:val="21"/>
        </w:rPr>
        <w:t>,</w:t>
      </w:r>
      <w:r w:rsidRPr="004466B7">
        <w:rPr>
          <w:rFonts w:ascii="Arial" w:hAnsi="Arial" w:cs="Arial"/>
          <w:color w:val="00B0F0"/>
          <w:sz w:val="21"/>
          <w:szCs w:val="21"/>
        </w:rPr>
        <w:t xml:space="preserve"> [Department]</w:t>
      </w:r>
    </w:p>
    <w:p w14:paraId="70AC0266" w14:textId="77777777" w:rsidR="00616B96" w:rsidRDefault="00616B96" w:rsidP="00616B96">
      <w:pPr>
        <w:rPr>
          <w:rFonts w:ascii="Arial" w:hAnsi="Arial" w:cs="Arial"/>
          <w:sz w:val="21"/>
          <w:szCs w:val="21"/>
        </w:rPr>
      </w:pPr>
    </w:p>
    <w:p w14:paraId="63505453" w14:textId="58290666" w:rsidR="00571CB2" w:rsidRDefault="00571CB2" w:rsidP="00616B96">
      <w:pPr>
        <w:rPr>
          <w:rFonts w:ascii="Arial" w:hAnsi="Arial" w:cs="Arial"/>
          <w:sz w:val="21"/>
          <w:szCs w:val="21"/>
        </w:rPr>
      </w:pPr>
      <w:r w:rsidRPr="00571CB2">
        <w:rPr>
          <w:rFonts w:ascii="Arial" w:hAnsi="Arial" w:cs="Arial"/>
          <w:sz w:val="21"/>
          <w:szCs w:val="21"/>
        </w:rPr>
        <w:t xml:space="preserve">Re: </w:t>
      </w:r>
      <w:r w:rsidR="006F5D4F" w:rsidRPr="006F5D4F">
        <w:rPr>
          <w:rFonts w:ascii="Arial" w:hAnsi="Arial" w:cs="Arial"/>
          <w:sz w:val="21"/>
          <w:szCs w:val="21"/>
        </w:rPr>
        <w:t xml:space="preserve">Letter of Appeal for </w:t>
      </w:r>
      <w:r>
        <w:rPr>
          <w:rFonts w:ascii="Arial" w:hAnsi="Arial" w:cs="Arial"/>
          <w:sz w:val="21"/>
          <w:szCs w:val="21"/>
        </w:rPr>
        <w:t>ONGE</w:t>
      </w:r>
      <w:r w:rsidR="00EE3F93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TYS</w:t>
      </w:r>
      <w:r w:rsidR="00582581" w:rsidRPr="005404A3">
        <w:rPr>
          <w:rFonts w:ascii="Arial" w:hAnsi="Arial" w:cs="Arial"/>
          <w:sz w:val="21"/>
          <w:szCs w:val="21"/>
          <w:vertAlign w:val="superscript"/>
        </w:rPr>
        <w:t>®</w:t>
      </w:r>
      <w:r w:rsidR="00582581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="00582581" w:rsidRPr="004466B7">
        <w:rPr>
          <w:rFonts w:ascii="Arial" w:hAnsi="Arial" w:cs="Arial"/>
          <w:sz w:val="21"/>
          <w:szCs w:val="21"/>
        </w:rPr>
        <w:t>(opicapone)</w:t>
      </w:r>
      <w:r>
        <w:rPr>
          <w:rFonts w:ascii="Arial" w:hAnsi="Arial" w:cs="Arial"/>
          <w:sz w:val="21"/>
          <w:szCs w:val="21"/>
        </w:rPr>
        <w:t xml:space="preserve"> </w:t>
      </w:r>
      <w:r w:rsidRPr="00571CB2">
        <w:rPr>
          <w:rFonts w:ascii="Arial" w:hAnsi="Arial" w:cs="Arial"/>
          <w:sz w:val="21"/>
          <w:szCs w:val="21"/>
        </w:rPr>
        <w:t xml:space="preserve">for </w:t>
      </w:r>
      <w:r w:rsidR="005619A0">
        <w:rPr>
          <w:rFonts w:ascii="Arial" w:hAnsi="Arial" w:cs="Arial"/>
          <w:sz w:val="21"/>
          <w:szCs w:val="21"/>
        </w:rPr>
        <w:t>[</w:t>
      </w:r>
      <w:r w:rsidRPr="00EE3F93">
        <w:rPr>
          <w:rFonts w:ascii="Arial" w:hAnsi="Arial" w:cs="Arial"/>
          <w:color w:val="00B0F0"/>
          <w:sz w:val="21"/>
          <w:szCs w:val="21"/>
        </w:rPr>
        <w:t>Plan Member Name</w:t>
      </w:r>
      <w:r w:rsidR="005619A0">
        <w:rPr>
          <w:rFonts w:ascii="Arial" w:hAnsi="Arial" w:cs="Arial"/>
          <w:color w:val="00B0F0"/>
          <w:sz w:val="21"/>
          <w:szCs w:val="21"/>
        </w:rPr>
        <w:t>]</w:t>
      </w:r>
    </w:p>
    <w:p w14:paraId="2911D227" w14:textId="77777777" w:rsidR="00571CB2" w:rsidRPr="004466B7" w:rsidRDefault="00571CB2" w:rsidP="00616B96">
      <w:pPr>
        <w:rPr>
          <w:rFonts w:ascii="Arial" w:hAnsi="Arial" w:cs="Arial"/>
          <w:sz w:val="21"/>
          <w:szCs w:val="21"/>
        </w:rPr>
      </w:pPr>
    </w:p>
    <w:p w14:paraId="11E4EEE1" w14:textId="77777777" w:rsidR="00616B96" w:rsidRPr="004466B7" w:rsidRDefault="00616B96" w:rsidP="00616B96">
      <w:pPr>
        <w:rPr>
          <w:rFonts w:ascii="Arial" w:hAnsi="Arial" w:cs="Arial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 xml:space="preserve">Dear </w:t>
      </w:r>
      <w:r w:rsidRPr="004466B7">
        <w:rPr>
          <w:rFonts w:ascii="Arial" w:hAnsi="Arial" w:cs="Arial"/>
          <w:color w:val="00B0F0"/>
          <w:sz w:val="21"/>
          <w:szCs w:val="21"/>
        </w:rPr>
        <w:t>[Medical/Pharmacy Director]</w:t>
      </w:r>
      <w:r w:rsidRPr="00CC4295">
        <w:rPr>
          <w:rFonts w:ascii="Arial" w:hAnsi="Arial" w:cs="Arial"/>
          <w:sz w:val="21"/>
          <w:szCs w:val="21"/>
        </w:rPr>
        <w:t>:</w:t>
      </w:r>
    </w:p>
    <w:p w14:paraId="16ACEFE7" w14:textId="77777777" w:rsidR="00616B96" w:rsidRPr="004466B7" w:rsidRDefault="00616B96" w:rsidP="00616B96">
      <w:pPr>
        <w:rPr>
          <w:rFonts w:ascii="Arial" w:hAnsi="Arial" w:cs="Arial"/>
          <w:color w:val="3D3935"/>
          <w:sz w:val="21"/>
          <w:szCs w:val="21"/>
        </w:rPr>
      </w:pPr>
    </w:p>
    <w:p w14:paraId="4DDA7E3F" w14:textId="6DF052A3" w:rsidR="00C15044" w:rsidRPr="00C15044" w:rsidRDefault="00C15044" w:rsidP="00C15044">
      <w:pPr>
        <w:rPr>
          <w:rFonts w:ascii="Arial" w:hAnsi="Arial" w:cs="Arial"/>
          <w:sz w:val="21"/>
          <w:szCs w:val="21"/>
        </w:rPr>
      </w:pPr>
      <w:r w:rsidRPr="00C15044">
        <w:rPr>
          <w:rFonts w:ascii="Arial" w:hAnsi="Arial" w:cs="Arial"/>
          <w:sz w:val="21"/>
          <w:szCs w:val="21"/>
        </w:rPr>
        <w:t xml:space="preserve">I am writing on behalf of </w:t>
      </w:r>
      <w:r w:rsidR="00247F2D" w:rsidRPr="00CC4295">
        <w:rPr>
          <w:rFonts w:ascii="Arial" w:hAnsi="Arial" w:cs="Arial"/>
          <w:color w:val="00B0F0"/>
          <w:sz w:val="21"/>
          <w:szCs w:val="21"/>
        </w:rPr>
        <w:t>[patient’s name]</w:t>
      </w:r>
      <w:r w:rsidR="00C41F4E" w:rsidRPr="004466B7">
        <w:rPr>
          <w:rFonts w:ascii="Arial" w:hAnsi="Arial" w:cs="Arial"/>
          <w:sz w:val="21"/>
          <w:szCs w:val="21"/>
        </w:rPr>
        <w:t xml:space="preserve">, a </w:t>
      </w:r>
      <w:r w:rsidR="00C41F4E" w:rsidRPr="00CC4295">
        <w:rPr>
          <w:rFonts w:ascii="Arial" w:hAnsi="Arial" w:cs="Arial"/>
          <w:color w:val="00B0F0"/>
          <w:sz w:val="21"/>
          <w:szCs w:val="21"/>
        </w:rPr>
        <w:t>[male/female]</w:t>
      </w:r>
      <w:r w:rsidR="00C41F4E" w:rsidRPr="004466B7">
        <w:rPr>
          <w:rFonts w:ascii="Arial" w:hAnsi="Arial" w:cs="Arial"/>
          <w:sz w:val="21"/>
          <w:szCs w:val="21"/>
        </w:rPr>
        <w:t xml:space="preserve"> </w:t>
      </w:r>
      <w:r w:rsidR="00B40710">
        <w:rPr>
          <w:rFonts w:ascii="Arial" w:hAnsi="Arial" w:cs="Arial"/>
          <w:sz w:val="21"/>
          <w:szCs w:val="21"/>
        </w:rPr>
        <w:t xml:space="preserve">patient </w:t>
      </w:r>
      <w:r w:rsidR="00C41F4E" w:rsidRPr="004466B7">
        <w:rPr>
          <w:rFonts w:ascii="Arial" w:hAnsi="Arial" w:cs="Arial"/>
          <w:sz w:val="21"/>
          <w:szCs w:val="21"/>
        </w:rPr>
        <w:t xml:space="preserve">aged </w:t>
      </w:r>
      <w:r w:rsidR="00C41F4E" w:rsidRPr="00CC4295">
        <w:rPr>
          <w:rFonts w:ascii="Arial" w:hAnsi="Arial" w:cs="Arial"/>
          <w:color w:val="00B0F0"/>
          <w:sz w:val="21"/>
          <w:szCs w:val="21"/>
        </w:rPr>
        <w:t>[patient’s age]</w:t>
      </w:r>
      <w:r w:rsidR="00C41F4E" w:rsidRPr="004466B7">
        <w:rPr>
          <w:rFonts w:ascii="Arial" w:hAnsi="Arial" w:cs="Arial"/>
          <w:sz w:val="21"/>
          <w:szCs w:val="21"/>
        </w:rPr>
        <w:t xml:space="preserve"> year</w:t>
      </w:r>
      <w:r w:rsidR="008A5E59">
        <w:rPr>
          <w:rFonts w:ascii="Arial" w:hAnsi="Arial" w:cs="Arial"/>
          <w:sz w:val="21"/>
          <w:szCs w:val="21"/>
        </w:rPr>
        <w:t>s</w:t>
      </w:r>
      <w:r w:rsidR="00C41F4E">
        <w:rPr>
          <w:rFonts w:ascii="Arial" w:hAnsi="Arial" w:cs="Arial"/>
          <w:sz w:val="21"/>
          <w:szCs w:val="21"/>
        </w:rPr>
        <w:t xml:space="preserve"> </w:t>
      </w:r>
      <w:r w:rsidR="00930670">
        <w:rPr>
          <w:rFonts w:ascii="Arial" w:hAnsi="Arial" w:cs="Arial"/>
          <w:sz w:val="21"/>
          <w:szCs w:val="21"/>
        </w:rPr>
        <w:t xml:space="preserve">who </w:t>
      </w:r>
      <w:r w:rsidR="00C41F4E" w:rsidRPr="00C15044">
        <w:rPr>
          <w:rFonts w:ascii="Arial" w:hAnsi="Arial" w:cs="Arial"/>
          <w:sz w:val="21"/>
          <w:szCs w:val="21"/>
        </w:rPr>
        <w:t>was diagnosed with</w:t>
      </w:r>
      <w:r w:rsidR="00C41F4E">
        <w:rPr>
          <w:rFonts w:ascii="Arial" w:hAnsi="Arial" w:cs="Arial"/>
          <w:sz w:val="21"/>
          <w:szCs w:val="21"/>
        </w:rPr>
        <w:t xml:space="preserve"> </w:t>
      </w:r>
      <w:r w:rsidR="00ED21A7">
        <w:rPr>
          <w:rFonts w:ascii="Arial" w:hAnsi="Arial" w:cs="Arial"/>
          <w:sz w:val="21"/>
          <w:szCs w:val="21"/>
        </w:rPr>
        <w:t>Parkinson</w:t>
      </w:r>
      <w:r w:rsidR="00B554C7">
        <w:rPr>
          <w:rFonts w:ascii="Arial" w:hAnsi="Arial" w:cs="Arial"/>
          <w:sz w:val="21"/>
          <w:szCs w:val="21"/>
        </w:rPr>
        <w:t>’s disease (</w:t>
      </w:r>
      <w:r w:rsidR="00C41F4E">
        <w:rPr>
          <w:rFonts w:ascii="Arial" w:hAnsi="Arial" w:cs="Arial"/>
          <w:sz w:val="21"/>
          <w:szCs w:val="21"/>
        </w:rPr>
        <w:t>PD</w:t>
      </w:r>
      <w:r w:rsidR="00B554C7">
        <w:rPr>
          <w:rFonts w:ascii="Arial" w:hAnsi="Arial" w:cs="Arial"/>
          <w:sz w:val="21"/>
          <w:szCs w:val="21"/>
        </w:rPr>
        <w:t>)</w:t>
      </w:r>
      <w:r w:rsidR="00C41F4E" w:rsidRPr="00C15044">
        <w:rPr>
          <w:rFonts w:ascii="Arial" w:hAnsi="Arial" w:cs="Arial"/>
          <w:sz w:val="21"/>
          <w:szCs w:val="21"/>
        </w:rPr>
        <w:t xml:space="preserve"> on </w:t>
      </w:r>
      <w:r w:rsidR="00C41F4E" w:rsidRPr="003C154B">
        <w:rPr>
          <w:rFonts w:ascii="Arial" w:hAnsi="Arial" w:cs="Arial"/>
          <w:color w:val="00B0F0"/>
          <w:sz w:val="21"/>
          <w:szCs w:val="21"/>
        </w:rPr>
        <w:t>[date]</w:t>
      </w:r>
      <w:r w:rsidR="00C41F4E" w:rsidRPr="008A5E59">
        <w:rPr>
          <w:rFonts w:ascii="Arial" w:hAnsi="Arial" w:cs="Arial"/>
          <w:sz w:val="21"/>
          <w:szCs w:val="21"/>
        </w:rPr>
        <w:t>,</w:t>
      </w:r>
      <w:r w:rsidRPr="00C15044">
        <w:rPr>
          <w:rFonts w:ascii="Arial" w:hAnsi="Arial" w:cs="Arial"/>
          <w:sz w:val="21"/>
          <w:szCs w:val="21"/>
        </w:rPr>
        <w:t xml:space="preserve"> to request reconsideration of your denial of coverage for </w:t>
      </w:r>
      <w:r w:rsidR="00247F2D">
        <w:rPr>
          <w:rFonts w:ascii="Arial" w:hAnsi="Arial" w:cs="Arial"/>
          <w:sz w:val="21"/>
          <w:szCs w:val="21"/>
        </w:rPr>
        <w:t>ONGENTYS</w:t>
      </w:r>
      <w:r w:rsidR="00247F2D" w:rsidRPr="00247F2D">
        <w:rPr>
          <w:rFonts w:ascii="Arial" w:hAnsi="Arial" w:cs="Arial"/>
          <w:sz w:val="21"/>
          <w:szCs w:val="21"/>
          <w:vertAlign w:val="superscript"/>
        </w:rPr>
        <w:t>®</w:t>
      </w:r>
      <w:r w:rsidR="00247F2D">
        <w:rPr>
          <w:rFonts w:ascii="Arial" w:hAnsi="Arial" w:cs="Arial"/>
          <w:sz w:val="21"/>
          <w:szCs w:val="21"/>
        </w:rPr>
        <w:t xml:space="preserve"> </w:t>
      </w:r>
      <w:r w:rsidRPr="00C15044">
        <w:rPr>
          <w:rFonts w:ascii="Arial" w:hAnsi="Arial" w:cs="Arial"/>
          <w:sz w:val="21"/>
          <w:szCs w:val="21"/>
        </w:rPr>
        <w:t>(</w:t>
      </w:r>
      <w:r w:rsidR="00247F2D">
        <w:rPr>
          <w:rFonts w:ascii="Arial" w:hAnsi="Arial" w:cs="Arial"/>
          <w:sz w:val="21"/>
          <w:szCs w:val="21"/>
        </w:rPr>
        <w:t>opicapone</w:t>
      </w:r>
      <w:r w:rsidRPr="00C15044">
        <w:rPr>
          <w:rFonts w:ascii="Arial" w:hAnsi="Arial" w:cs="Arial"/>
          <w:sz w:val="21"/>
          <w:szCs w:val="21"/>
        </w:rPr>
        <w:t xml:space="preserve">) </w:t>
      </w:r>
      <w:r w:rsidR="00247F2D">
        <w:rPr>
          <w:rFonts w:ascii="Arial" w:hAnsi="Arial" w:cs="Arial"/>
          <w:sz w:val="21"/>
          <w:szCs w:val="21"/>
        </w:rPr>
        <w:t xml:space="preserve">capsules </w:t>
      </w:r>
      <w:r w:rsidRPr="00C15044">
        <w:rPr>
          <w:rFonts w:ascii="Arial" w:hAnsi="Arial" w:cs="Arial"/>
          <w:sz w:val="21"/>
          <w:szCs w:val="21"/>
        </w:rPr>
        <w:t xml:space="preserve">for the treatment of </w:t>
      </w:r>
      <w:r w:rsidR="00247F2D">
        <w:rPr>
          <w:rFonts w:ascii="Arial" w:hAnsi="Arial" w:cs="Arial"/>
          <w:sz w:val="21"/>
          <w:szCs w:val="21"/>
        </w:rPr>
        <w:t xml:space="preserve">PD. </w:t>
      </w:r>
      <w:r w:rsidRPr="00C15044">
        <w:rPr>
          <w:rFonts w:ascii="Arial" w:hAnsi="Arial" w:cs="Arial"/>
          <w:sz w:val="21"/>
          <w:szCs w:val="21"/>
        </w:rPr>
        <w:t xml:space="preserve">Based on my experience with treating patients with </w:t>
      </w:r>
      <w:r w:rsidR="00D90CF4">
        <w:rPr>
          <w:rFonts w:ascii="Arial" w:hAnsi="Arial" w:cs="Arial"/>
          <w:sz w:val="21"/>
          <w:szCs w:val="21"/>
        </w:rPr>
        <w:t>PD</w:t>
      </w:r>
      <w:r w:rsidRPr="00C15044">
        <w:rPr>
          <w:rFonts w:ascii="Arial" w:hAnsi="Arial" w:cs="Arial"/>
          <w:sz w:val="21"/>
          <w:szCs w:val="21"/>
        </w:rPr>
        <w:t xml:space="preserve">, and the patient’s condition and medical history, I believe treatment with </w:t>
      </w:r>
      <w:r w:rsidR="00D90CF4">
        <w:rPr>
          <w:rFonts w:ascii="Arial" w:hAnsi="Arial" w:cs="Arial"/>
          <w:sz w:val="21"/>
          <w:szCs w:val="21"/>
        </w:rPr>
        <w:t xml:space="preserve">ONGENTYS </w:t>
      </w:r>
      <w:r w:rsidRPr="00C15044">
        <w:rPr>
          <w:rFonts w:ascii="Arial" w:hAnsi="Arial" w:cs="Arial"/>
          <w:sz w:val="21"/>
          <w:szCs w:val="21"/>
        </w:rPr>
        <w:t>is appropriate and medically necessary. This letter provides the clinical rationale and relevant information about the patient’s treatment.</w:t>
      </w:r>
    </w:p>
    <w:p w14:paraId="1E15DBDF" w14:textId="77777777" w:rsidR="00D018D4" w:rsidRDefault="00D018D4" w:rsidP="00B551E6">
      <w:pPr>
        <w:rPr>
          <w:rFonts w:ascii="Arial" w:hAnsi="Arial" w:cs="Arial"/>
          <w:sz w:val="21"/>
          <w:szCs w:val="21"/>
        </w:rPr>
      </w:pPr>
    </w:p>
    <w:p w14:paraId="0BD05566" w14:textId="07653512" w:rsidR="00ED21A7" w:rsidRDefault="00ED21A7" w:rsidP="00ED21A7">
      <w:pPr>
        <w:rPr>
          <w:rFonts w:ascii="Arial" w:hAnsi="Arial" w:cs="Arial"/>
          <w:sz w:val="21"/>
          <w:szCs w:val="21"/>
        </w:rPr>
      </w:pPr>
      <w:r w:rsidRPr="00ED21A7">
        <w:rPr>
          <w:rFonts w:ascii="Arial" w:hAnsi="Arial" w:cs="Arial"/>
          <w:sz w:val="21"/>
          <w:szCs w:val="21"/>
        </w:rPr>
        <w:t xml:space="preserve">Early in PD, </w:t>
      </w:r>
      <w:r w:rsidR="00B554C7">
        <w:rPr>
          <w:rFonts w:ascii="Arial" w:hAnsi="Arial" w:cs="Arial"/>
          <w:sz w:val="21"/>
          <w:szCs w:val="21"/>
        </w:rPr>
        <w:t xml:space="preserve">levodopa </w:t>
      </w:r>
      <w:r w:rsidRPr="00ED21A7">
        <w:rPr>
          <w:rFonts w:ascii="Arial" w:hAnsi="Arial" w:cs="Arial"/>
          <w:sz w:val="21"/>
          <w:szCs w:val="21"/>
        </w:rPr>
        <w:t xml:space="preserve">gives good movement control </w:t>
      </w:r>
      <w:r w:rsidR="004652AC">
        <w:rPr>
          <w:rFonts w:ascii="Arial" w:hAnsi="Arial" w:cs="Arial"/>
          <w:sz w:val="21"/>
          <w:szCs w:val="21"/>
        </w:rPr>
        <w:t xml:space="preserve">for </w:t>
      </w:r>
      <w:r w:rsidRPr="00ED21A7">
        <w:rPr>
          <w:rFonts w:ascii="Arial" w:hAnsi="Arial" w:cs="Arial"/>
          <w:sz w:val="21"/>
          <w:szCs w:val="21"/>
        </w:rPr>
        <w:t>most of the day, but as the disease advances, all patients develop fluctuations in the control of their symptoms.</w:t>
      </w:r>
      <w:r w:rsidR="00B554C7">
        <w:rPr>
          <w:rFonts w:ascii="Arial" w:hAnsi="Arial" w:cs="Arial"/>
          <w:sz w:val="21"/>
          <w:szCs w:val="21"/>
        </w:rPr>
        <w:t xml:space="preserve"> </w:t>
      </w:r>
      <w:r w:rsidRPr="00ED21A7">
        <w:rPr>
          <w:rFonts w:ascii="Arial" w:hAnsi="Arial" w:cs="Arial"/>
          <w:sz w:val="21"/>
          <w:szCs w:val="21"/>
        </w:rPr>
        <w:t xml:space="preserve">Up to 40% of patients develop motor fluctuations within 4 to 6 years after starting </w:t>
      </w:r>
      <w:r w:rsidR="003D752E">
        <w:rPr>
          <w:rFonts w:ascii="Arial" w:hAnsi="Arial" w:cs="Arial"/>
          <w:sz w:val="21"/>
          <w:szCs w:val="21"/>
        </w:rPr>
        <w:t>levodopa</w:t>
      </w:r>
      <w:r w:rsidRPr="00ED21A7">
        <w:rPr>
          <w:rFonts w:ascii="Arial" w:hAnsi="Arial" w:cs="Arial"/>
          <w:sz w:val="21"/>
          <w:szCs w:val="21"/>
        </w:rPr>
        <w:t>, increasing to almost all patients 10 years from diagnosis</w:t>
      </w:r>
      <w:r w:rsidR="00855C0C">
        <w:rPr>
          <w:rFonts w:ascii="Arial" w:hAnsi="Arial" w:cs="Arial"/>
          <w:sz w:val="21"/>
          <w:szCs w:val="21"/>
        </w:rPr>
        <w:t>.</w:t>
      </w:r>
      <w:r w:rsidR="003D752E" w:rsidRPr="003D752E">
        <w:rPr>
          <w:rFonts w:ascii="Arial" w:hAnsi="Arial" w:cs="Arial"/>
          <w:sz w:val="21"/>
          <w:szCs w:val="21"/>
          <w:vertAlign w:val="superscript"/>
        </w:rPr>
        <w:t>1,</w:t>
      </w:r>
      <w:proofErr w:type="gramStart"/>
      <w:r w:rsidR="003D752E" w:rsidRPr="003D752E">
        <w:rPr>
          <w:rFonts w:ascii="Arial" w:hAnsi="Arial" w:cs="Arial"/>
          <w:sz w:val="21"/>
          <w:szCs w:val="21"/>
          <w:vertAlign w:val="superscript"/>
        </w:rPr>
        <w:t>2</w:t>
      </w:r>
      <w:proofErr w:type="gramEnd"/>
    </w:p>
    <w:p w14:paraId="1D776B87" w14:textId="77777777" w:rsidR="00ED21A7" w:rsidRDefault="00ED21A7" w:rsidP="00145486">
      <w:pPr>
        <w:rPr>
          <w:rFonts w:ascii="Arial" w:hAnsi="Arial" w:cs="Arial"/>
          <w:sz w:val="21"/>
          <w:szCs w:val="21"/>
        </w:rPr>
      </w:pPr>
    </w:p>
    <w:p w14:paraId="2443F0E9" w14:textId="1035C8AE" w:rsidR="00145486" w:rsidRPr="00B663B7" w:rsidRDefault="00145486" w:rsidP="00145486">
      <w:pPr>
        <w:rPr>
          <w:rFonts w:ascii="Arial" w:hAnsi="Arial" w:cs="Arial"/>
          <w:sz w:val="21"/>
          <w:szCs w:val="21"/>
        </w:rPr>
      </w:pPr>
      <w:r w:rsidRPr="00B663B7">
        <w:rPr>
          <w:rFonts w:ascii="Arial" w:hAnsi="Arial" w:cs="Arial"/>
          <w:sz w:val="21"/>
          <w:szCs w:val="21"/>
        </w:rPr>
        <w:t xml:space="preserve">In PD, </w:t>
      </w:r>
      <w:r w:rsidR="00344533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</w:t>
      </w:r>
      <w:r w:rsidRPr="00B663B7">
        <w:rPr>
          <w:rFonts w:ascii="Arial" w:hAnsi="Arial" w:cs="Arial"/>
          <w:sz w:val="21"/>
          <w:szCs w:val="21"/>
        </w:rPr>
        <w:t xml:space="preserve">major enzymes can limit levodopa from getting to the brain: </w:t>
      </w:r>
      <w:r w:rsidR="000C60CA">
        <w:rPr>
          <w:rFonts w:ascii="Arial" w:hAnsi="Arial" w:cs="Arial"/>
          <w:sz w:val="21"/>
          <w:szCs w:val="21"/>
        </w:rPr>
        <w:t>DOPA decarb</w:t>
      </w:r>
      <w:r w:rsidR="000E3F43">
        <w:rPr>
          <w:rFonts w:ascii="Arial" w:hAnsi="Arial" w:cs="Arial"/>
          <w:sz w:val="21"/>
          <w:szCs w:val="21"/>
        </w:rPr>
        <w:t xml:space="preserve">oxylase </w:t>
      </w:r>
      <w:r w:rsidR="000C60CA">
        <w:rPr>
          <w:rFonts w:ascii="Arial" w:hAnsi="Arial" w:cs="Arial"/>
          <w:sz w:val="21"/>
          <w:szCs w:val="21"/>
        </w:rPr>
        <w:t>(</w:t>
      </w:r>
      <w:r w:rsidRPr="00B663B7">
        <w:rPr>
          <w:rFonts w:ascii="Arial" w:hAnsi="Arial" w:cs="Arial"/>
          <w:sz w:val="21"/>
          <w:szCs w:val="21"/>
        </w:rPr>
        <w:t>DDC</w:t>
      </w:r>
      <w:r w:rsidR="000C60CA">
        <w:rPr>
          <w:rFonts w:ascii="Arial" w:hAnsi="Arial" w:cs="Arial"/>
          <w:sz w:val="21"/>
          <w:szCs w:val="21"/>
        </w:rPr>
        <w:t>)</w:t>
      </w:r>
      <w:r w:rsidRPr="00B663B7">
        <w:rPr>
          <w:rFonts w:ascii="Arial" w:hAnsi="Arial" w:cs="Arial"/>
          <w:sz w:val="21"/>
          <w:szCs w:val="21"/>
        </w:rPr>
        <w:t xml:space="preserve"> &amp; </w:t>
      </w:r>
      <w:r w:rsidR="00477295" w:rsidRPr="004466B7">
        <w:rPr>
          <w:rFonts w:ascii="Arial" w:hAnsi="Arial" w:cs="Arial"/>
          <w:sz w:val="21"/>
          <w:szCs w:val="21"/>
        </w:rPr>
        <w:t xml:space="preserve">catechol-O-methyltransferase </w:t>
      </w:r>
      <w:r w:rsidR="00477295">
        <w:rPr>
          <w:rFonts w:ascii="Arial" w:hAnsi="Arial" w:cs="Arial"/>
          <w:sz w:val="21"/>
          <w:szCs w:val="21"/>
        </w:rPr>
        <w:t>(</w:t>
      </w:r>
      <w:r w:rsidRPr="00B663B7">
        <w:rPr>
          <w:rFonts w:ascii="Arial" w:hAnsi="Arial" w:cs="Arial"/>
          <w:sz w:val="21"/>
          <w:szCs w:val="21"/>
        </w:rPr>
        <w:t>COMT</w:t>
      </w:r>
      <w:r w:rsidR="00477295">
        <w:rPr>
          <w:rFonts w:ascii="Arial" w:hAnsi="Arial" w:cs="Arial"/>
          <w:sz w:val="21"/>
          <w:szCs w:val="21"/>
        </w:rPr>
        <w:t>)</w:t>
      </w:r>
      <w:r w:rsidRPr="00B663B7">
        <w:rPr>
          <w:rFonts w:ascii="Arial" w:hAnsi="Arial" w:cs="Arial"/>
          <w:sz w:val="21"/>
          <w:szCs w:val="21"/>
        </w:rPr>
        <w:t>. When the DDC enzyme is inhibited by carbidopa, COMT becomes the predominant peripheral metabolic pathway for levodopa. When patients on carbidopa/levodopa experience "off" time, a common treatment approach is to increase the dose and/or frequency of carbidopa/levodopa—leaving the COMT enzyme unchecked.</w:t>
      </w:r>
      <w:r w:rsidR="001E464B">
        <w:rPr>
          <w:rFonts w:ascii="Arial" w:hAnsi="Arial" w:cs="Arial"/>
          <w:sz w:val="21"/>
          <w:szCs w:val="21"/>
          <w:vertAlign w:val="superscript"/>
        </w:rPr>
        <w:t>3-</w:t>
      </w:r>
      <w:proofErr w:type="gramStart"/>
      <w:r w:rsidR="00A506CA">
        <w:rPr>
          <w:rFonts w:ascii="Arial" w:hAnsi="Arial" w:cs="Arial"/>
          <w:sz w:val="21"/>
          <w:szCs w:val="21"/>
          <w:vertAlign w:val="superscript"/>
        </w:rPr>
        <w:t>11</w:t>
      </w:r>
      <w:proofErr w:type="gramEnd"/>
    </w:p>
    <w:p w14:paraId="5532FA66" w14:textId="77777777" w:rsidR="0049093F" w:rsidRDefault="0049093F" w:rsidP="00C15044">
      <w:pPr>
        <w:rPr>
          <w:rFonts w:ascii="Arial" w:hAnsi="Arial" w:cs="Arial"/>
          <w:sz w:val="21"/>
          <w:szCs w:val="21"/>
        </w:rPr>
      </w:pPr>
    </w:p>
    <w:p w14:paraId="53C5F751" w14:textId="2A96C663" w:rsidR="001E2749" w:rsidRDefault="00D018D4" w:rsidP="001E2749">
      <w:pPr>
        <w:rPr>
          <w:rFonts w:ascii="Arial" w:hAnsi="Arial" w:cs="Arial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>ONGENTYS is a COMT inhibitor and is FDA</w:t>
      </w:r>
      <w:r w:rsidR="00B102B1">
        <w:rPr>
          <w:rFonts w:ascii="Arial" w:hAnsi="Arial" w:cs="Arial"/>
          <w:sz w:val="21"/>
          <w:szCs w:val="21"/>
        </w:rPr>
        <w:t xml:space="preserve"> </w:t>
      </w:r>
      <w:r w:rsidRPr="004466B7">
        <w:rPr>
          <w:rFonts w:ascii="Arial" w:hAnsi="Arial" w:cs="Arial"/>
          <w:sz w:val="21"/>
          <w:szCs w:val="21"/>
        </w:rPr>
        <w:t>approved as adjunctive treatment to carbidopa</w:t>
      </w:r>
      <w:r>
        <w:rPr>
          <w:rFonts w:ascii="Arial" w:hAnsi="Arial" w:cs="Arial"/>
          <w:sz w:val="21"/>
          <w:szCs w:val="21"/>
        </w:rPr>
        <w:t>/</w:t>
      </w:r>
      <w:r w:rsidR="007B7DAC">
        <w:rPr>
          <w:rFonts w:ascii="Arial" w:hAnsi="Arial" w:cs="Arial"/>
          <w:sz w:val="21"/>
          <w:szCs w:val="21"/>
        </w:rPr>
        <w:t>levodopa</w:t>
      </w:r>
      <w:r w:rsidRPr="004466B7">
        <w:rPr>
          <w:rFonts w:ascii="Arial" w:hAnsi="Arial" w:cs="Arial"/>
          <w:sz w:val="21"/>
          <w:szCs w:val="21"/>
        </w:rPr>
        <w:t xml:space="preserve"> in patients with PD experiencing “off” episodes.</w:t>
      </w:r>
      <w:r>
        <w:rPr>
          <w:rFonts w:ascii="Arial" w:hAnsi="Arial" w:cs="Arial"/>
          <w:sz w:val="21"/>
          <w:szCs w:val="21"/>
        </w:rPr>
        <w:t xml:space="preserve"> </w:t>
      </w:r>
      <w:r w:rsidR="001E2749" w:rsidRPr="00B663B7">
        <w:rPr>
          <w:rFonts w:ascii="Arial" w:hAnsi="Arial" w:cs="Arial"/>
          <w:sz w:val="21"/>
          <w:szCs w:val="21"/>
        </w:rPr>
        <w:t xml:space="preserve">As carbidopa protects levodopa from the DDC enzyme, ONGENTYS protects levodopa from the COMT enzyme in the periphery, </w:t>
      </w:r>
      <w:r w:rsidR="001E2749">
        <w:rPr>
          <w:rFonts w:ascii="Arial" w:hAnsi="Arial" w:cs="Arial"/>
          <w:sz w:val="21"/>
          <w:szCs w:val="21"/>
        </w:rPr>
        <w:t xml:space="preserve">which may increase </w:t>
      </w:r>
      <w:r w:rsidR="00F66352">
        <w:rPr>
          <w:rFonts w:ascii="Arial" w:hAnsi="Arial" w:cs="Arial"/>
          <w:sz w:val="21"/>
          <w:szCs w:val="21"/>
        </w:rPr>
        <w:t xml:space="preserve">the ability of </w:t>
      </w:r>
      <w:r w:rsidR="001E2749">
        <w:rPr>
          <w:rFonts w:ascii="Arial" w:hAnsi="Arial" w:cs="Arial"/>
          <w:sz w:val="21"/>
          <w:szCs w:val="21"/>
        </w:rPr>
        <w:t xml:space="preserve">levodopa </w:t>
      </w:r>
      <w:r w:rsidR="001E2749" w:rsidRPr="00116698">
        <w:rPr>
          <w:rFonts w:ascii="Arial" w:hAnsi="Arial" w:cs="Arial"/>
          <w:sz w:val="21"/>
          <w:szCs w:val="21"/>
        </w:rPr>
        <w:t>to reach the brain</w:t>
      </w:r>
      <w:r w:rsidR="001E2749" w:rsidRPr="00B663B7">
        <w:rPr>
          <w:rFonts w:ascii="Arial" w:hAnsi="Arial" w:cs="Arial"/>
          <w:sz w:val="21"/>
          <w:szCs w:val="21"/>
        </w:rPr>
        <w:t>.</w:t>
      </w:r>
      <w:r w:rsidR="00381742">
        <w:rPr>
          <w:rFonts w:ascii="Arial" w:hAnsi="Arial" w:cs="Arial"/>
          <w:sz w:val="21"/>
          <w:szCs w:val="21"/>
          <w:vertAlign w:val="superscript"/>
        </w:rPr>
        <w:t>6</w:t>
      </w:r>
      <w:r w:rsidR="00106849">
        <w:rPr>
          <w:rFonts w:ascii="Arial" w:hAnsi="Arial" w:cs="Arial"/>
          <w:sz w:val="21"/>
          <w:szCs w:val="21"/>
          <w:vertAlign w:val="superscript"/>
        </w:rPr>
        <w:t>,</w:t>
      </w:r>
      <w:proofErr w:type="gramStart"/>
      <w:r w:rsidR="00106849">
        <w:rPr>
          <w:rFonts w:ascii="Arial" w:hAnsi="Arial" w:cs="Arial"/>
          <w:sz w:val="21"/>
          <w:szCs w:val="21"/>
          <w:vertAlign w:val="superscript"/>
        </w:rPr>
        <w:t>1</w:t>
      </w:r>
      <w:r w:rsidR="00381742">
        <w:rPr>
          <w:rFonts w:ascii="Arial" w:hAnsi="Arial" w:cs="Arial"/>
          <w:sz w:val="21"/>
          <w:szCs w:val="21"/>
          <w:vertAlign w:val="superscript"/>
        </w:rPr>
        <w:t>2</w:t>
      </w:r>
      <w:proofErr w:type="gramEnd"/>
    </w:p>
    <w:p w14:paraId="61CEC0C4" w14:textId="77777777" w:rsidR="001E2749" w:rsidRDefault="001E2749" w:rsidP="00C15044">
      <w:pPr>
        <w:rPr>
          <w:rFonts w:ascii="Arial" w:hAnsi="Arial" w:cs="Arial"/>
          <w:sz w:val="21"/>
          <w:szCs w:val="21"/>
        </w:rPr>
      </w:pPr>
    </w:p>
    <w:p w14:paraId="5AB68FF4" w14:textId="449F306E" w:rsidR="00925C3D" w:rsidRDefault="006500D2" w:rsidP="006500D2">
      <w:pPr>
        <w:rPr>
          <w:rFonts w:ascii="Arial" w:hAnsi="Arial" w:cs="Arial"/>
          <w:sz w:val="21"/>
          <w:szCs w:val="21"/>
          <w:vertAlign w:val="superscript"/>
        </w:rPr>
      </w:pPr>
      <w:r w:rsidRPr="00625573">
        <w:rPr>
          <w:rFonts w:ascii="Arial" w:hAnsi="Arial" w:cs="Arial"/>
          <w:sz w:val="21"/>
          <w:szCs w:val="21"/>
        </w:rPr>
        <w:t>The efficacy of ONGENTYS as adjunctive treatment to carbidopa</w:t>
      </w:r>
      <w:r w:rsidRPr="0081649E">
        <w:rPr>
          <w:rStyle w:val="CommentReference"/>
          <w:rFonts w:ascii="Arial" w:hAnsi="Arial" w:cs="Arial"/>
          <w:sz w:val="21"/>
          <w:szCs w:val="21"/>
        </w:rPr>
        <w:t>/l</w:t>
      </w:r>
      <w:r w:rsidRPr="0081649E">
        <w:rPr>
          <w:rFonts w:ascii="Arial" w:hAnsi="Arial" w:cs="Arial"/>
          <w:sz w:val="21"/>
          <w:szCs w:val="21"/>
        </w:rPr>
        <w:t>evodopa</w:t>
      </w:r>
      <w:r w:rsidRPr="00625573">
        <w:rPr>
          <w:rFonts w:ascii="Arial" w:hAnsi="Arial" w:cs="Arial"/>
          <w:sz w:val="21"/>
          <w:szCs w:val="21"/>
        </w:rPr>
        <w:t xml:space="preserve"> was evaluated in </w:t>
      </w:r>
      <w:r w:rsidR="00855C0C">
        <w:rPr>
          <w:rFonts w:ascii="Arial" w:hAnsi="Arial" w:cs="Arial"/>
          <w:sz w:val="21"/>
          <w:szCs w:val="21"/>
        </w:rPr>
        <w:t>two</w:t>
      </w:r>
      <w:r w:rsidRPr="00625573">
        <w:rPr>
          <w:rFonts w:ascii="Arial" w:hAnsi="Arial" w:cs="Arial"/>
          <w:sz w:val="21"/>
          <w:szCs w:val="21"/>
        </w:rPr>
        <w:t xml:space="preserve"> 14- to 15-week, double-blind, randomized, parallel-group studies of patients with PD experiencing "off" episodes. All patients were treated with </w:t>
      </w:r>
      <w:r w:rsidRPr="00011D7B">
        <w:rPr>
          <w:rFonts w:ascii="Arial" w:hAnsi="Arial" w:cs="Arial"/>
          <w:sz w:val="21"/>
          <w:szCs w:val="21"/>
        </w:rPr>
        <w:t xml:space="preserve">carbidopa/levodopa </w:t>
      </w:r>
      <w:r w:rsidRPr="00625573">
        <w:rPr>
          <w:rFonts w:ascii="Arial" w:hAnsi="Arial" w:cs="Arial"/>
          <w:sz w:val="21"/>
          <w:szCs w:val="21"/>
        </w:rPr>
        <w:t>(alone or in combination with other PD medications). The double-blind period for each study began with an up to 3-week</w:t>
      </w:r>
      <w:r w:rsidR="0081649E">
        <w:rPr>
          <w:rFonts w:ascii="Arial" w:hAnsi="Arial" w:cs="Arial"/>
          <w:sz w:val="21"/>
          <w:szCs w:val="21"/>
        </w:rPr>
        <w:t xml:space="preserve"> </w:t>
      </w:r>
      <w:r w:rsidRPr="00011D7B">
        <w:rPr>
          <w:rFonts w:ascii="Arial" w:hAnsi="Arial" w:cs="Arial"/>
          <w:sz w:val="21"/>
          <w:szCs w:val="21"/>
        </w:rPr>
        <w:t xml:space="preserve">carbidopa/levodopa </w:t>
      </w:r>
      <w:r w:rsidRPr="00625573">
        <w:rPr>
          <w:rFonts w:ascii="Arial" w:hAnsi="Arial" w:cs="Arial"/>
          <w:sz w:val="21"/>
          <w:szCs w:val="21"/>
        </w:rPr>
        <w:t>adjustment period, followed by a stable maintenance period of 12 weeks</w:t>
      </w:r>
      <w:r w:rsidR="00855C0C">
        <w:rPr>
          <w:rFonts w:ascii="Arial" w:hAnsi="Arial" w:cs="Arial"/>
          <w:sz w:val="21"/>
          <w:szCs w:val="21"/>
        </w:rPr>
        <w:t>.</w:t>
      </w:r>
      <w:r w:rsidR="00106849">
        <w:rPr>
          <w:rFonts w:ascii="Arial" w:hAnsi="Arial" w:cs="Arial"/>
          <w:sz w:val="21"/>
          <w:szCs w:val="21"/>
          <w:vertAlign w:val="superscript"/>
        </w:rPr>
        <w:t>12</w:t>
      </w:r>
    </w:p>
    <w:p w14:paraId="765BAA6E" w14:textId="7A17D0D1" w:rsidR="000012BF" w:rsidRDefault="00630840" w:rsidP="006500D2">
      <w:pPr>
        <w:rPr>
          <w:rFonts w:ascii="Arial" w:hAnsi="Arial" w:cs="Arial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85A08B5" wp14:editId="7608A1F0">
            <wp:extent cx="5943600" cy="4317365"/>
            <wp:effectExtent l="0" t="0" r="0" b="6985"/>
            <wp:docPr id="1991967570" name="Picture 1" descr="A graph showing the price of a daily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67570" name="Picture 1" descr="A graph showing the price of a daily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F95">
        <w:rPr>
          <w:rFonts w:ascii="Arial" w:hAnsi="Arial" w:cs="Arial"/>
          <w:sz w:val="21"/>
          <w:szCs w:val="21"/>
        </w:rPr>
        <w:t xml:space="preserve"> </w:t>
      </w:r>
    </w:p>
    <w:p w14:paraId="7B28CC51" w14:textId="6681F601" w:rsidR="00B82C72" w:rsidRDefault="00B82C72" w:rsidP="006500D2">
      <w:pPr>
        <w:rPr>
          <w:rFonts w:ascii="Arial" w:hAnsi="Arial" w:cs="Arial"/>
          <w:sz w:val="21"/>
          <w:szCs w:val="21"/>
        </w:rPr>
      </w:pPr>
    </w:p>
    <w:p w14:paraId="47B09BB6" w14:textId="22F8279E" w:rsidR="006500D2" w:rsidRDefault="006500D2" w:rsidP="006500D2">
      <w:pPr>
        <w:rPr>
          <w:rFonts w:ascii="Arial" w:hAnsi="Arial" w:cs="Arial"/>
          <w:sz w:val="21"/>
          <w:szCs w:val="21"/>
        </w:rPr>
      </w:pPr>
      <w:r w:rsidRPr="002C0A24">
        <w:rPr>
          <w:rFonts w:ascii="Arial" w:hAnsi="Arial" w:cs="Arial"/>
          <w:sz w:val="21"/>
          <w:szCs w:val="21"/>
        </w:rPr>
        <w:t xml:space="preserve">In Study 1, </w:t>
      </w:r>
      <w:r>
        <w:rPr>
          <w:rFonts w:ascii="Arial" w:hAnsi="Arial" w:cs="Arial"/>
          <w:sz w:val="21"/>
          <w:szCs w:val="21"/>
        </w:rPr>
        <w:t>t</w:t>
      </w:r>
      <w:r w:rsidRPr="002C0A24">
        <w:rPr>
          <w:rFonts w:ascii="Arial" w:hAnsi="Arial" w:cs="Arial"/>
          <w:sz w:val="21"/>
          <w:szCs w:val="21"/>
        </w:rPr>
        <w:t xml:space="preserve">he intent-to-treat </w:t>
      </w:r>
      <w:r>
        <w:rPr>
          <w:rFonts w:ascii="Arial" w:hAnsi="Arial" w:cs="Arial"/>
          <w:sz w:val="21"/>
          <w:szCs w:val="21"/>
        </w:rPr>
        <w:t xml:space="preserve">(ITT) </w:t>
      </w:r>
      <w:r w:rsidRPr="002C0A24">
        <w:rPr>
          <w:rFonts w:ascii="Arial" w:hAnsi="Arial" w:cs="Arial"/>
          <w:sz w:val="21"/>
          <w:szCs w:val="21"/>
        </w:rPr>
        <w:t>population included patients treated with ONGENTYS 50 mg (n=115), placebo (n=120), or active comparator (entacapone</w:t>
      </w:r>
      <w:r w:rsidR="00F70FCA">
        <w:rPr>
          <w:rFonts w:ascii="Arial" w:hAnsi="Arial" w:cs="Arial"/>
          <w:sz w:val="21"/>
          <w:szCs w:val="21"/>
        </w:rPr>
        <w:t xml:space="preserve"> 200 mg</w:t>
      </w:r>
      <w:r w:rsidRPr="002C0A24">
        <w:rPr>
          <w:rFonts w:ascii="Arial" w:hAnsi="Arial" w:cs="Arial"/>
          <w:sz w:val="21"/>
          <w:szCs w:val="21"/>
        </w:rPr>
        <w:t xml:space="preserve">) (n=120). In Study 2, </w:t>
      </w:r>
      <w:r>
        <w:rPr>
          <w:rFonts w:ascii="Arial" w:hAnsi="Arial" w:cs="Arial"/>
          <w:sz w:val="21"/>
          <w:szCs w:val="21"/>
        </w:rPr>
        <w:t>t</w:t>
      </w:r>
      <w:r w:rsidRPr="002C0A24">
        <w:rPr>
          <w:rFonts w:ascii="Arial" w:hAnsi="Arial" w:cs="Arial"/>
          <w:sz w:val="21"/>
          <w:szCs w:val="21"/>
        </w:rPr>
        <w:t xml:space="preserve">he </w:t>
      </w:r>
      <w:r>
        <w:rPr>
          <w:rFonts w:ascii="Arial" w:hAnsi="Arial" w:cs="Arial"/>
          <w:sz w:val="21"/>
          <w:szCs w:val="21"/>
        </w:rPr>
        <w:t xml:space="preserve">ITT </w:t>
      </w:r>
      <w:r w:rsidRPr="002C0A24">
        <w:rPr>
          <w:rFonts w:ascii="Arial" w:hAnsi="Arial" w:cs="Arial"/>
          <w:sz w:val="21"/>
          <w:szCs w:val="21"/>
        </w:rPr>
        <w:t>population included patients treated with ONGENTYS 50 mg (n=147) or placebo (n=135).</w:t>
      </w:r>
      <w:r>
        <w:rPr>
          <w:rFonts w:ascii="Arial" w:hAnsi="Arial" w:cs="Arial"/>
          <w:sz w:val="21"/>
          <w:szCs w:val="21"/>
        </w:rPr>
        <w:t xml:space="preserve"> </w:t>
      </w:r>
      <w:r w:rsidRPr="00417F24">
        <w:rPr>
          <w:rFonts w:ascii="Arial" w:hAnsi="Arial" w:cs="Arial"/>
          <w:sz w:val="21"/>
          <w:szCs w:val="21"/>
        </w:rPr>
        <w:t xml:space="preserve">ONGENTYS significantly reduced mean absolute “off” time at 14/15 weeks </w:t>
      </w:r>
      <w:r>
        <w:rPr>
          <w:rFonts w:ascii="Arial" w:hAnsi="Arial" w:cs="Arial"/>
          <w:sz w:val="21"/>
          <w:szCs w:val="21"/>
        </w:rPr>
        <w:t>when compared with placebo</w:t>
      </w:r>
      <w:r w:rsidRPr="00417F2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150542">
        <w:rPr>
          <w:rFonts w:ascii="Arial" w:hAnsi="Arial" w:cs="Arial"/>
          <w:sz w:val="21"/>
          <w:szCs w:val="21"/>
        </w:rPr>
        <w:t xml:space="preserve">Similar decreases in </w:t>
      </w:r>
      <w:r>
        <w:rPr>
          <w:rFonts w:ascii="Arial" w:hAnsi="Arial" w:cs="Arial"/>
          <w:sz w:val="21"/>
          <w:szCs w:val="21"/>
        </w:rPr>
        <w:t xml:space="preserve">“off” </w:t>
      </w:r>
      <w:r w:rsidRPr="00150542">
        <w:rPr>
          <w:rFonts w:ascii="Arial" w:hAnsi="Arial" w:cs="Arial"/>
          <w:sz w:val="21"/>
          <w:szCs w:val="21"/>
        </w:rPr>
        <w:t xml:space="preserve">time </w:t>
      </w:r>
      <w:r>
        <w:rPr>
          <w:rFonts w:ascii="Arial" w:hAnsi="Arial" w:cs="Arial"/>
          <w:sz w:val="21"/>
          <w:szCs w:val="21"/>
        </w:rPr>
        <w:t xml:space="preserve">were observed at Week 1 </w:t>
      </w:r>
      <w:r w:rsidRPr="00150542">
        <w:rPr>
          <w:rFonts w:ascii="Arial" w:hAnsi="Arial" w:cs="Arial"/>
          <w:sz w:val="21"/>
          <w:szCs w:val="21"/>
        </w:rPr>
        <w:t xml:space="preserve">for patients in both </w:t>
      </w:r>
      <w:r>
        <w:rPr>
          <w:rFonts w:ascii="Arial" w:hAnsi="Arial" w:cs="Arial"/>
          <w:sz w:val="21"/>
          <w:szCs w:val="21"/>
        </w:rPr>
        <w:t>Study 1</w:t>
      </w:r>
      <w:r w:rsidRPr="00150542">
        <w:rPr>
          <w:rFonts w:ascii="Arial" w:hAnsi="Arial" w:cs="Arial"/>
          <w:sz w:val="21"/>
          <w:szCs w:val="21"/>
        </w:rPr>
        <w:t xml:space="preserve"> and </w:t>
      </w:r>
      <w:r>
        <w:rPr>
          <w:rFonts w:ascii="Arial" w:hAnsi="Arial" w:cs="Arial"/>
          <w:sz w:val="21"/>
          <w:szCs w:val="21"/>
        </w:rPr>
        <w:t xml:space="preserve">Study 2 </w:t>
      </w:r>
      <w:r w:rsidRPr="00150542">
        <w:rPr>
          <w:rFonts w:ascii="Arial" w:hAnsi="Arial" w:cs="Arial"/>
          <w:sz w:val="21"/>
          <w:szCs w:val="21"/>
        </w:rPr>
        <w:t>(-1.24 hours vs -0.42 hours for placebo, and -1.22 hours vs -0.47 hours for placebo</w:t>
      </w:r>
      <w:r>
        <w:rPr>
          <w:rFonts w:ascii="Arial" w:hAnsi="Arial" w:cs="Arial"/>
          <w:sz w:val="21"/>
          <w:szCs w:val="21"/>
        </w:rPr>
        <w:t>, respectively</w:t>
      </w:r>
      <w:r w:rsidRPr="00150542">
        <w:rPr>
          <w:rFonts w:ascii="Arial" w:hAnsi="Arial" w:cs="Arial"/>
          <w:sz w:val="21"/>
          <w:szCs w:val="21"/>
        </w:rPr>
        <w:t>).</w:t>
      </w:r>
      <w:r>
        <w:rPr>
          <w:rFonts w:ascii="Arial" w:hAnsi="Arial" w:cs="Arial"/>
          <w:sz w:val="21"/>
          <w:szCs w:val="21"/>
        </w:rPr>
        <w:t xml:space="preserve"> </w:t>
      </w:r>
      <w:r w:rsidRPr="00CA5C95">
        <w:rPr>
          <w:rFonts w:ascii="Arial" w:hAnsi="Arial" w:cs="Arial"/>
          <w:sz w:val="21"/>
          <w:szCs w:val="21"/>
        </w:rPr>
        <w:t xml:space="preserve">ONGENTYS </w:t>
      </w:r>
      <w:r>
        <w:rPr>
          <w:rFonts w:ascii="Arial" w:hAnsi="Arial" w:cs="Arial"/>
          <w:sz w:val="21"/>
          <w:szCs w:val="21"/>
        </w:rPr>
        <w:t xml:space="preserve">also </w:t>
      </w:r>
      <w:r w:rsidRPr="00CA5C95">
        <w:rPr>
          <w:rFonts w:ascii="Arial" w:hAnsi="Arial" w:cs="Arial"/>
          <w:sz w:val="21"/>
          <w:szCs w:val="21"/>
        </w:rPr>
        <w:t xml:space="preserve">increased mean absolute </w:t>
      </w:r>
      <w:r>
        <w:rPr>
          <w:rFonts w:ascii="Arial" w:hAnsi="Arial" w:cs="Arial"/>
          <w:sz w:val="21"/>
          <w:szCs w:val="21"/>
        </w:rPr>
        <w:t>“</w:t>
      </w:r>
      <w:r w:rsidRPr="00CA5C95"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”</w:t>
      </w:r>
      <w:r w:rsidRPr="00CA5C95">
        <w:rPr>
          <w:rFonts w:ascii="Arial" w:hAnsi="Arial" w:cs="Arial"/>
          <w:sz w:val="21"/>
          <w:szCs w:val="21"/>
        </w:rPr>
        <w:t xml:space="preserve"> time without troublesome dyskinesia</w:t>
      </w:r>
      <w:r>
        <w:rPr>
          <w:rFonts w:ascii="Arial" w:hAnsi="Arial" w:cs="Arial"/>
          <w:sz w:val="21"/>
          <w:szCs w:val="21"/>
        </w:rPr>
        <w:t xml:space="preserve">. </w:t>
      </w:r>
      <w:r w:rsidRPr="00CA5C95">
        <w:rPr>
          <w:rFonts w:ascii="Arial" w:hAnsi="Arial" w:cs="Arial"/>
          <w:sz w:val="21"/>
          <w:szCs w:val="21"/>
        </w:rPr>
        <w:t xml:space="preserve">ONGENTYS </w:t>
      </w:r>
      <w:r>
        <w:rPr>
          <w:rFonts w:ascii="Arial" w:hAnsi="Arial" w:cs="Arial"/>
          <w:sz w:val="21"/>
          <w:szCs w:val="21"/>
        </w:rPr>
        <w:t xml:space="preserve">was </w:t>
      </w:r>
      <w:r w:rsidRPr="00F25B5B">
        <w:rPr>
          <w:rFonts w:ascii="Arial" w:hAnsi="Arial" w:cs="Arial"/>
          <w:sz w:val="21"/>
          <w:szCs w:val="21"/>
        </w:rPr>
        <w:t xml:space="preserve">generally well tolerated in </w:t>
      </w:r>
      <w:r>
        <w:rPr>
          <w:rFonts w:ascii="Arial" w:hAnsi="Arial" w:cs="Arial"/>
          <w:sz w:val="21"/>
          <w:szCs w:val="21"/>
        </w:rPr>
        <w:t xml:space="preserve">the </w:t>
      </w:r>
      <w:r w:rsidRPr="00F25B5B">
        <w:rPr>
          <w:rFonts w:ascii="Arial" w:hAnsi="Arial" w:cs="Arial"/>
          <w:sz w:val="21"/>
          <w:szCs w:val="21"/>
        </w:rPr>
        <w:t>clinical studies</w:t>
      </w:r>
      <w:r w:rsidR="004D7BC8">
        <w:rPr>
          <w:rFonts w:ascii="Arial" w:hAnsi="Arial" w:cs="Arial"/>
          <w:sz w:val="21"/>
          <w:szCs w:val="21"/>
        </w:rPr>
        <w:t>.</w:t>
      </w:r>
      <w:r w:rsidR="008729AF">
        <w:rPr>
          <w:rFonts w:ascii="Arial" w:hAnsi="Arial" w:cs="Arial"/>
          <w:sz w:val="21"/>
          <w:szCs w:val="21"/>
          <w:vertAlign w:val="superscript"/>
        </w:rPr>
        <w:t>12</w:t>
      </w:r>
      <w:r w:rsidR="0051540C">
        <w:rPr>
          <w:rFonts w:ascii="Arial" w:hAnsi="Arial" w:cs="Arial"/>
          <w:sz w:val="21"/>
          <w:szCs w:val="21"/>
          <w:vertAlign w:val="superscript"/>
        </w:rPr>
        <w:t>-</w:t>
      </w:r>
      <w:proofErr w:type="gramStart"/>
      <w:r w:rsidR="0051540C">
        <w:rPr>
          <w:rFonts w:ascii="Arial" w:hAnsi="Arial" w:cs="Arial"/>
          <w:sz w:val="21"/>
          <w:szCs w:val="21"/>
          <w:vertAlign w:val="superscript"/>
        </w:rPr>
        <w:t>14</w:t>
      </w:r>
      <w:proofErr w:type="gramEnd"/>
    </w:p>
    <w:p w14:paraId="5D52800A" w14:textId="751F0231" w:rsidR="006500D2" w:rsidRDefault="006500D2" w:rsidP="006500D2">
      <w:pPr>
        <w:rPr>
          <w:rFonts w:ascii="Arial" w:hAnsi="Arial" w:cs="Arial"/>
          <w:sz w:val="21"/>
          <w:szCs w:val="21"/>
        </w:rPr>
      </w:pPr>
    </w:p>
    <w:p w14:paraId="4106E131" w14:textId="2188D391" w:rsidR="006500D2" w:rsidRDefault="006500D2" w:rsidP="006500D2">
      <w:pPr>
        <w:rPr>
          <w:rFonts w:ascii="Arial" w:hAnsi="Arial" w:cs="Arial"/>
          <w:sz w:val="21"/>
          <w:szCs w:val="21"/>
        </w:rPr>
      </w:pPr>
      <w:r w:rsidRPr="002C0A24">
        <w:rPr>
          <w:rFonts w:ascii="Arial" w:hAnsi="Arial" w:cs="Arial"/>
          <w:sz w:val="21"/>
          <w:szCs w:val="21"/>
        </w:rPr>
        <w:t>After the double-blind period, patients were able to enroll in a 1-year open-label extension of ONGENTYS. Patients who had been on placebo or active comparator in the double-blind period received ONGENTYS in the open-label period</w:t>
      </w:r>
      <w:r>
        <w:rPr>
          <w:rFonts w:ascii="Arial" w:hAnsi="Arial" w:cs="Arial"/>
          <w:sz w:val="21"/>
          <w:szCs w:val="21"/>
        </w:rPr>
        <w:t xml:space="preserve">. </w:t>
      </w:r>
      <w:r w:rsidRPr="00233638">
        <w:rPr>
          <w:rFonts w:ascii="Arial" w:hAnsi="Arial" w:cs="Arial"/>
          <w:sz w:val="21"/>
          <w:szCs w:val="21"/>
        </w:rPr>
        <w:t xml:space="preserve">Patients who remained on ONGENTYS from the double-blind period through the open-label extension period maintained their increases in </w:t>
      </w:r>
      <w:r>
        <w:rPr>
          <w:rFonts w:ascii="Arial" w:hAnsi="Arial" w:cs="Arial"/>
          <w:sz w:val="21"/>
          <w:szCs w:val="21"/>
        </w:rPr>
        <w:t>“</w:t>
      </w:r>
      <w:r w:rsidRPr="00233638">
        <w:rPr>
          <w:rFonts w:ascii="Arial" w:hAnsi="Arial" w:cs="Arial"/>
          <w:sz w:val="21"/>
          <w:szCs w:val="21"/>
        </w:rPr>
        <w:t xml:space="preserve">good </w:t>
      </w:r>
      <w:r>
        <w:rPr>
          <w:rFonts w:ascii="Arial" w:hAnsi="Arial" w:cs="Arial"/>
          <w:sz w:val="21"/>
          <w:szCs w:val="21"/>
        </w:rPr>
        <w:t xml:space="preserve">on” </w:t>
      </w:r>
      <w:r w:rsidRPr="00233638">
        <w:rPr>
          <w:rFonts w:ascii="Arial" w:hAnsi="Arial" w:cs="Arial"/>
          <w:sz w:val="21"/>
          <w:szCs w:val="21"/>
        </w:rPr>
        <w:t xml:space="preserve">time, and patients who switched from placebo to ONGENTYS saw a 1-hour increase in </w:t>
      </w:r>
      <w:r>
        <w:rPr>
          <w:rFonts w:ascii="Arial" w:hAnsi="Arial" w:cs="Arial"/>
          <w:sz w:val="21"/>
          <w:szCs w:val="21"/>
        </w:rPr>
        <w:t>“</w:t>
      </w:r>
      <w:r w:rsidRPr="00233638">
        <w:rPr>
          <w:rFonts w:ascii="Arial" w:hAnsi="Arial" w:cs="Arial"/>
          <w:sz w:val="21"/>
          <w:szCs w:val="21"/>
        </w:rPr>
        <w:t xml:space="preserve">good </w:t>
      </w:r>
      <w:r>
        <w:rPr>
          <w:rFonts w:ascii="Arial" w:hAnsi="Arial" w:cs="Arial"/>
          <w:sz w:val="21"/>
          <w:szCs w:val="21"/>
        </w:rPr>
        <w:t xml:space="preserve">on” </w:t>
      </w:r>
      <w:r w:rsidRPr="00233638">
        <w:rPr>
          <w:rFonts w:ascii="Arial" w:hAnsi="Arial" w:cs="Arial"/>
          <w:sz w:val="21"/>
          <w:szCs w:val="21"/>
        </w:rPr>
        <w:t>time</w:t>
      </w:r>
      <w:r>
        <w:rPr>
          <w:rFonts w:ascii="Arial" w:hAnsi="Arial" w:cs="Arial"/>
          <w:sz w:val="21"/>
          <w:szCs w:val="21"/>
        </w:rPr>
        <w:t>. P</w:t>
      </w:r>
      <w:r w:rsidRPr="00233638">
        <w:rPr>
          <w:rFonts w:ascii="Arial" w:hAnsi="Arial" w:cs="Arial"/>
          <w:sz w:val="21"/>
          <w:szCs w:val="21"/>
        </w:rPr>
        <w:t xml:space="preserve">atients who switched from entacapone to ONGENTYS had </w:t>
      </w:r>
      <w:r>
        <w:rPr>
          <w:rFonts w:ascii="Arial" w:hAnsi="Arial" w:cs="Arial"/>
          <w:sz w:val="21"/>
          <w:szCs w:val="21"/>
        </w:rPr>
        <w:t xml:space="preserve">an increase of </w:t>
      </w:r>
      <w:r w:rsidRPr="00233638">
        <w:rPr>
          <w:rFonts w:ascii="Arial" w:hAnsi="Arial" w:cs="Arial"/>
          <w:sz w:val="21"/>
          <w:szCs w:val="21"/>
        </w:rPr>
        <w:t xml:space="preserve">almost 45 minutes in </w:t>
      </w:r>
      <w:r>
        <w:rPr>
          <w:rFonts w:ascii="Arial" w:hAnsi="Arial" w:cs="Arial"/>
          <w:sz w:val="21"/>
          <w:szCs w:val="21"/>
        </w:rPr>
        <w:t>additional “</w:t>
      </w:r>
      <w:r w:rsidRPr="00233638">
        <w:rPr>
          <w:rFonts w:ascii="Arial" w:hAnsi="Arial" w:cs="Arial"/>
          <w:sz w:val="21"/>
          <w:szCs w:val="21"/>
        </w:rPr>
        <w:t xml:space="preserve">good </w:t>
      </w:r>
      <w:r>
        <w:rPr>
          <w:rFonts w:ascii="Arial" w:hAnsi="Arial" w:cs="Arial"/>
          <w:sz w:val="21"/>
          <w:szCs w:val="21"/>
        </w:rPr>
        <w:t xml:space="preserve">on” </w:t>
      </w:r>
      <w:r w:rsidRPr="00233638">
        <w:rPr>
          <w:rFonts w:ascii="Arial" w:hAnsi="Arial" w:cs="Arial"/>
          <w:sz w:val="21"/>
          <w:szCs w:val="21"/>
        </w:rPr>
        <w:t>time</w:t>
      </w:r>
      <w:r>
        <w:rPr>
          <w:rFonts w:ascii="Arial" w:hAnsi="Arial" w:cs="Arial"/>
          <w:sz w:val="21"/>
          <w:szCs w:val="21"/>
        </w:rPr>
        <w:t xml:space="preserve">. </w:t>
      </w:r>
      <w:r w:rsidRPr="00583B1A">
        <w:rPr>
          <w:rFonts w:ascii="Arial" w:hAnsi="Arial" w:cs="Arial"/>
          <w:sz w:val="21"/>
          <w:szCs w:val="21"/>
        </w:rPr>
        <w:t xml:space="preserve">No new safety concerns related to the long-term use of </w:t>
      </w:r>
      <w:r w:rsidRPr="00233638">
        <w:rPr>
          <w:rFonts w:ascii="Arial" w:hAnsi="Arial" w:cs="Arial"/>
          <w:sz w:val="21"/>
          <w:szCs w:val="21"/>
        </w:rPr>
        <w:t>ONGENTYS</w:t>
      </w:r>
      <w:r>
        <w:rPr>
          <w:rFonts w:ascii="Arial" w:hAnsi="Arial" w:cs="Arial"/>
          <w:sz w:val="21"/>
          <w:szCs w:val="21"/>
        </w:rPr>
        <w:t xml:space="preserve"> </w:t>
      </w:r>
      <w:r w:rsidRPr="00583B1A">
        <w:rPr>
          <w:rFonts w:ascii="Arial" w:hAnsi="Arial" w:cs="Arial"/>
          <w:sz w:val="21"/>
          <w:szCs w:val="21"/>
        </w:rPr>
        <w:t>were observed in this study</w:t>
      </w:r>
      <w:r w:rsidR="004D7BC8">
        <w:rPr>
          <w:rFonts w:ascii="Arial" w:hAnsi="Arial" w:cs="Arial"/>
          <w:sz w:val="21"/>
          <w:szCs w:val="21"/>
        </w:rPr>
        <w:t>.</w:t>
      </w:r>
      <w:r w:rsidR="000E111B">
        <w:rPr>
          <w:rFonts w:ascii="Arial" w:hAnsi="Arial" w:cs="Arial"/>
          <w:sz w:val="21"/>
          <w:szCs w:val="21"/>
          <w:vertAlign w:val="superscript"/>
        </w:rPr>
        <w:t>1</w:t>
      </w:r>
      <w:r w:rsidR="00BA4F38">
        <w:rPr>
          <w:rFonts w:ascii="Arial" w:hAnsi="Arial" w:cs="Arial"/>
          <w:sz w:val="21"/>
          <w:szCs w:val="21"/>
          <w:vertAlign w:val="superscript"/>
        </w:rPr>
        <w:t>3</w:t>
      </w:r>
      <w:r w:rsidR="000674F3">
        <w:rPr>
          <w:rFonts w:ascii="Arial" w:hAnsi="Arial" w:cs="Arial"/>
          <w:sz w:val="21"/>
          <w:szCs w:val="21"/>
          <w:vertAlign w:val="superscript"/>
        </w:rPr>
        <w:t>,</w:t>
      </w:r>
      <w:proofErr w:type="gramStart"/>
      <w:r w:rsidR="000674F3">
        <w:rPr>
          <w:rFonts w:ascii="Arial" w:hAnsi="Arial" w:cs="Arial"/>
          <w:sz w:val="21"/>
          <w:szCs w:val="21"/>
          <w:vertAlign w:val="superscript"/>
        </w:rPr>
        <w:t>15</w:t>
      </w:r>
      <w:proofErr w:type="gramEnd"/>
    </w:p>
    <w:p w14:paraId="3FF9DB4F" w14:textId="766493BD" w:rsidR="006500D2" w:rsidRDefault="006500D2" w:rsidP="006500D2">
      <w:pPr>
        <w:rPr>
          <w:rFonts w:ascii="Arial" w:hAnsi="Arial" w:cs="Arial"/>
          <w:sz w:val="21"/>
          <w:szCs w:val="21"/>
        </w:rPr>
      </w:pPr>
    </w:p>
    <w:p w14:paraId="74245F24" w14:textId="4042DF13" w:rsidR="006500D2" w:rsidRPr="00847709" w:rsidRDefault="003D19D9" w:rsidP="00C15044">
      <w:pPr>
        <w:rPr>
          <w:rFonts w:ascii="Arial" w:hAnsi="Arial" w:cs="Arial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2401AA5" wp14:editId="13766665">
            <wp:extent cx="5943600" cy="4317365"/>
            <wp:effectExtent l="0" t="0" r="0" b="6985"/>
            <wp:docPr id="1183445818" name="Picture 2" descr="A graph showing the number of hou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45818" name="Picture 2" descr="A graph showing the number of hou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CF5">
        <w:rPr>
          <w:rFonts w:ascii="Arial" w:hAnsi="Arial" w:cs="Arial"/>
          <w:sz w:val="21"/>
          <w:szCs w:val="21"/>
        </w:rPr>
        <w:t xml:space="preserve"> </w:t>
      </w:r>
    </w:p>
    <w:p w14:paraId="4B9C9AB7" w14:textId="3F595F15" w:rsidR="00C15044" w:rsidRPr="00C15044" w:rsidRDefault="00C15044" w:rsidP="00C15044">
      <w:pPr>
        <w:rPr>
          <w:rFonts w:ascii="Arial" w:hAnsi="Arial" w:cs="Arial"/>
          <w:sz w:val="21"/>
          <w:szCs w:val="21"/>
        </w:rPr>
      </w:pPr>
      <w:r w:rsidRPr="00C15044">
        <w:rPr>
          <w:rFonts w:ascii="Arial" w:hAnsi="Arial" w:cs="Arial"/>
          <w:sz w:val="21"/>
          <w:szCs w:val="21"/>
        </w:rPr>
        <w:t xml:space="preserve">A copy of the </w:t>
      </w:r>
      <w:r w:rsidR="0097608E" w:rsidRPr="00202497">
        <w:rPr>
          <w:rFonts w:ascii="Arial" w:hAnsi="Arial" w:cs="Arial"/>
          <w:color w:val="00B0F0"/>
          <w:sz w:val="21"/>
          <w:szCs w:val="21"/>
        </w:rPr>
        <w:t>[</w:t>
      </w:r>
      <w:r w:rsidRPr="00202497">
        <w:rPr>
          <w:rFonts w:ascii="Arial" w:hAnsi="Arial" w:cs="Arial"/>
          <w:color w:val="00B0F0"/>
          <w:sz w:val="21"/>
          <w:szCs w:val="21"/>
        </w:rPr>
        <w:t>level of denial</w:t>
      </w:r>
      <w:r w:rsidR="0097608E" w:rsidRPr="00202497">
        <w:rPr>
          <w:rFonts w:ascii="Arial" w:hAnsi="Arial" w:cs="Arial"/>
          <w:color w:val="00B0F0"/>
          <w:sz w:val="21"/>
          <w:szCs w:val="21"/>
        </w:rPr>
        <w:t>]</w:t>
      </w:r>
      <w:r w:rsidRPr="00202497">
        <w:rPr>
          <w:rFonts w:ascii="Arial" w:hAnsi="Arial" w:cs="Arial"/>
          <w:color w:val="00B0F0"/>
          <w:sz w:val="21"/>
          <w:szCs w:val="21"/>
        </w:rPr>
        <w:t xml:space="preserve"> </w:t>
      </w:r>
      <w:r w:rsidRPr="00C15044">
        <w:rPr>
          <w:rFonts w:ascii="Arial" w:hAnsi="Arial" w:cs="Arial"/>
          <w:sz w:val="21"/>
          <w:szCs w:val="21"/>
        </w:rPr>
        <w:t xml:space="preserve">denial letter is included along with medical notes in response to the denial. Considering the patient’s history and condition, I believe treatment with </w:t>
      </w:r>
      <w:r w:rsidR="00202497">
        <w:rPr>
          <w:rFonts w:ascii="Arial" w:hAnsi="Arial" w:cs="Arial"/>
          <w:sz w:val="21"/>
          <w:szCs w:val="21"/>
        </w:rPr>
        <w:t>ONGENTYS</w:t>
      </w:r>
      <w:r w:rsidRPr="00C15044">
        <w:rPr>
          <w:rFonts w:ascii="Arial" w:hAnsi="Arial" w:cs="Arial"/>
          <w:sz w:val="21"/>
          <w:szCs w:val="21"/>
        </w:rPr>
        <w:t xml:space="preserve"> is medically necessary for my patient.</w:t>
      </w:r>
    </w:p>
    <w:p w14:paraId="51E83E63" w14:textId="77777777" w:rsidR="00C15044" w:rsidRPr="00C15044" w:rsidRDefault="00C15044" w:rsidP="00C15044">
      <w:pPr>
        <w:rPr>
          <w:rFonts w:ascii="Arial" w:hAnsi="Arial" w:cs="Arial"/>
          <w:sz w:val="21"/>
          <w:szCs w:val="21"/>
        </w:rPr>
      </w:pPr>
      <w:r w:rsidRPr="00C15044">
        <w:rPr>
          <w:rFonts w:ascii="Arial" w:hAnsi="Arial" w:cs="Arial"/>
          <w:sz w:val="21"/>
          <w:szCs w:val="21"/>
        </w:rPr>
        <w:t xml:space="preserve"> </w:t>
      </w:r>
    </w:p>
    <w:p w14:paraId="145A3DD6" w14:textId="77777777" w:rsidR="008A39AE" w:rsidRDefault="008A39AE" w:rsidP="00C15044">
      <w:pPr>
        <w:rPr>
          <w:rFonts w:ascii="Arial" w:hAnsi="Arial" w:cs="Arial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 xml:space="preserve">Please contact my office at </w:t>
      </w:r>
      <w:r w:rsidRPr="004466B7">
        <w:rPr>
          <w:rFonts w:ascii="Arial" w:hAnsi="Arial" w:cs="Arial"/>
          <w:color w:val="00B0F0"/>
          <w:sz w:val="21"/>
          <w:szCs w:val="21"/>
        </w:rPr>
        <w:t>[office phone number]</w:t>
      </w:r>
      <w:r w:rsidRPr="004466B7">
        <w:rPr>
          <w:rFonts w:ascii="Arial" w:hAnsi="Arial" w:cs="Arial"/>
          <w:sz w:val="21"/>
          <w:szCs w:val="21"/>
        </w:rPr>
        <w:t xml:space="preserve"> if any additional information is required to ensure prompt approval for this course of treatment.</w:t>
      </w:r>
    </w:p>
    <w:p w14:paraId="377C83FC" w14:textId="77777777" w:rsidR="008A39AE" w:rsidRDefault="008A39AE" w:rsidP="00C15044">
      <w:pPr>
        <w:rPr>
          <w:rFonts w:ascii="Arial" w:hAnsi="Arial" w:cs="Arial"/>
          <w:sz w:val="21"/>
          <w:szCs w:val="21"/>
        </w:rPr>
      </w:pPr>
    </w:p>
    <w:p w14:paraId="3AB3C6B9" w14:textId="77777777" w:rsidR="008A39AE" w:rsidRDefault="00C15044" w:rsidP="00C15044">
      <w:pPr>
        <w:rPr>
          <w:rFonts w:ascii="Arial" w:hAnsi="Arial" w:cs="Arial"/>
          <w:sz w:val="21"/>
          <w:szCs w:val="21"/>
        </w:rPr>
      </w:pPr>
      <w:r w:rsidRPr="00C15044">
        <w:rPr>
          <w:rFonts w:ascii="Arial" w:hAnsi="Arial" w:cs="Arial"/>
          <w:sz w:val="21"/>
          <w:szCs w:val="21"/>
        </w:rPr>
        <w:t xml:space="preserve">Thank you for your time and immediate attention to this request. </w:t>
      </w:r>
    </w:p>
    <w:p w14:paraId="0868813E" w14:textId="77777777" w:rsidR="008A39AE" w:rsidRDefault="008A39AE" w:rsidP="00C15044">
      <w:pPr>
        <w:rPr>
          <w:rFonts w:ascii="Arial" w:hAnsi="Arial" w:cs="Arial"/>
          <w:sz w:val="21"/>
          <w:szCs w:val="21"/>
        </w:rPr>
      </w:pPr>
    </w:p>
    <w:p w14:paraId="4B35D0DB" w14:textId="77777777" w:rsidR="00025C68" w:rsidRDefault="00025C68" w:rsidP="00C15044">
      <w:pPr>
        <w:rPr>
          <w:rFonts w:ascii="Arial" w:hAnsi="Arial" w:cs="Arial"/>
          <w:sz w:val="21"/>
          <w:szCs w:val="21"/>
        </w:rPr>
      </w:pPr>
    </w:p>
    <w:p w14:paraId="6A9A3E18" w14:textId="77777777" w:rsidR="00025C68" w:rsidRPr="004466B7" w:rsidRDefault="00025C68" w:rsidP="00025C68">
      <w:pPr>
        <w:rPr>
          <w:rFonts w:ascii="Arial" w:hAnsi="Arial" w:cs="Arial"/>
          <w:sz w:val="21"/>
          <w:szCs w:val="21"/>
        </w:rPr>
      </w:pPr>
      <w:r w:rsidRPr="004466B7">
        <w:rPr>
          <w:rFonts w:ascii="Arial" w:hAnsi="Arial" w:cs="Arial"/>
          <w:sz w:val="21"/>
          <w:szCs w:val="21"/>
        </w:rPr>
        <w:t>Sincerely,</w:t>
      </w:r>
    </w:p>
    <w:p w14:paraId="3A4D0512" w14:textId="77777777" w:rsidR="00025C68" w:rsidRPr="004466B7" w:rsidRDefault="00025C68" w:rsidP="00025C68">
      <w:pPr>
        <w:rPr>
          <w:rFonts w:ascii="Arial" w:hAnsi="Arial" w:cs="Arial"/>
          <w:sz w:val="21"/>
          <w:szCs w:val="21"/>
        </w:rPr>
      </w:pPr>
    </w:p>
    <w:p w14:paraId="37C86206" w14:textId="77777777" w:rsidR="00025C68" w:rsidRPr="004466B7" w:rsidRDefault="00025C68" w:rsidP="00025C68">
      <w:pPr>
        <w:rPr>
          <w:rFonts w:ascii="Arial" w:hAnsi="Arial" w:cs="Arial"/>
          <w:color w:val="00B0F0"/>
          <w:sz w:val="21"/>
          <w:szCs w:val="21"/>
        </w:rPr>
      </w:pPr>
      <w:r w:rsidRPr="004466B7">
        <w:rPr>
          <w:rFonts w:ascii="Arial" w:hAnsi="Arial" w:cs="Arial"/>
          <w:color w:val="00B0F0"/>
          <w:sz w:val="21"/>
          <w:szCs w:val="21"/>
        </w:rPr>
        <w:t>[Physician’s name]</w:t>
      </w:r>
    </w:p>
    <w:p w14:paraId="1D655BE5" w14:textId="77777777" w:rsidR="00025C68" w:rsidRPr="004466B7" w:rsidRDefault="00025C68" w:rsidP="00025C68">
      <w:pPr>
        <w:rPr>
          <w:rFonts w:ascii="Arial" w:hAnsi="Arial" w:cs="Arial"/>
          <w:color w:val="00B0F0"/>
          <w:sz w:val="21"/>
          <w:szCs w:val="21"/>
        </w:rPr>
      </w:pPr>
    </w:p>
    <w:p w14:paraId="1AAB418F" w14:textId="0D53A787" w:rsidR="001E464B" w:rsidRDefault="00025C68">
      <w:pPr>
        <w:rPr>
          <w:rFonts w:ascii="Arial" w:hAnsi="Arial" w:cs="Arial"/>
          <w:color w:val="00B0F0"/>
          <w:sz w:val="21"/>
          <w:szCs w:val="21"/>
        </w:rPr>
      </w:pPr>
      <w:r w:rsidRPr="004466B7">
        <w:rPr>
          <w:rFonts w:ascii="Arial" w:hAnsi="Arial" w:cs="Arial"/>
          <w:color w:val="00B0F0"/>
          <w:sz w:val="21"/>
          <w:szCs w:val="21"/>
        </w:rPr>
        <w:t>[</w:t>
      </w:r>
      <w:r>
        <w:rPr>
          <w:rFonts w:ascii="Arial" w:hAnsi="Arial" w:cs="Arial"/>
          <w:color w:val="00B0F0"/>
          <w:sz w:val="21"/>
          <w:szCs w:val="21"/>
        </w:rPr>
        <w:t>Reminder to l</w:t>
      </w:r>
      <w:r w:rsidRPr="004466B7">
        <w:rPr>
          <w:rFonts w:ascii="Arial" w:hAnsi="Arial" w:cs="Arial"/>
          <w:color w:val="00B0F0"/>
          <w:sz w:val="21"/>
          <w:szCs w:val="21"/>
        </w:rPr>
        <w:t>ist enclosures as appropriate</w:t>
      </w:r>
      <w:r w:rsidR="0012481E">
        <w:rPr>
          <w:rFonts w:ascii="Arial" w:hAnsi="Arial" w:cs="Arial"/>
          <w:color w:val="00B0F0"/>
          <w:sz w:val="21"/>
          <w:szCs w:val="21"/>
        </w:rPr>
        <w:t xml:space="preserve"> or </w:t>
      </w:r>
      <w:r w:rsidR="0012481E" w:rsidRPr="00274A79">
        <w:rPr>
          <w:rFonts w:ascii="Arial" w:hAnsi="Arial" w:cs="Arial"/>
          <w:color w:val="00B0F0"/>
          <w:sz w:val="21"/>
          <w:szCs w:val="21"/>
        </w:rPr>
        <w:t>requested by the plan in the denial letter</w:t>
      </w:r>
      <w:r w:rsidRPr="004466B7">
        <w:rPr>
          <w:rFonts w:ascii="Arial" w:hAnsi="Arial" w:cs="Arial"/>
          <w:color w:val="00B0F0"/>
          <w:sz w:val="21"/>
          <w:szCs w:val="21"/>
        </w:rPr>
        <w:t xml:space="preserve"> (</w:t>
      </w:r>
      <w:proofErr w:type="spellStart"/>
      <w:r w:rsidRPr="004466B7">
        <w:rPr>
          <w:rFonts w:ascii="Arial" w:hAnsi="Arial" w:cs="Arial"/>
          <w:color w:val="00B0F0"/>
          <w:sz w:val="21"/>
          <w:szCs w:val="21"/>
        </w:rPr>
        <w:t>eg</w:t>
      </w:r>
      <w:proofErr w:type="spellEnd"/>
      <w:r w:rsidRPr="004466B7">
        <w:rPr>
          <w:rFonts w:ascii="Arial" w:hAnsi="Arial" w:cs="Arial"/>
          <w:color w:val="00B0F0"/>
          <w:sz w:val="21"/>
          <w:szCs w:val="21"/>
        </w:rPr>
        <w:t>, excerpt(s) from patient’s medical record, relevant treatment guidelines, and product Prescribing Information)</w:t>
      </w:r>
      <w:r w:rsidR="00362FC5">
        <w:rPr>
          <w:rFonts w:ascii="Arial" w:hAnsi="Arial" w:cs="Arial"/>
          <w:color w:val="00B0F0"/>
          <w:sz w:val="21"/>
          <w:szCs w:val="21"/>
        </w:rPr>
        <w:t>.</w:t>
      </w:r>
      <w:r w:rsidRPr="004466B7">
        <w:rPr>
          <w:rFonts w:ascii="Arial" w:hAnsi="Arial" w:cs="Arial"/>
          <w:color w:val="00B0F0"/>
          <w:sz w:val="21"/>
          <w:szCs w:val="21"/>
        </w:rPr>
        <w:t>]</w:t>
      </w:r>
      <w:r w:rsidR="001E464B">
        <w:rPr>
          <w:rFonts w:ascii="Arial" w:hAnsi="Arial" w:cs="Arial"/>
          <w:color w:val="00B0F0"/>
          <w:sz w:val="21"/>
          <w:szCs w:val="21"/>
        </w:rPr>
        <w:br w:type="page"/>
      </w:r>
    </w:p>
    <w:p w14:paraId="06506283" w14:textId="33C515EC" w:rsidR="00630A4B" w:rsidRPr="00023F17" w:rsidRDefault="0057385D" w:rsidP="004B2467">
      <w:pPr>
        <w:rPr>
          <w:rStyle w:val="cf01"/>
          <w:rFonts w:ascii="Arial" w:hAnsi="Arial" w:cs="Arial"/>
          <w:b w:val="0"/>
          <w:bCs w:val="0"/>
          <w:sz w:val="21"/>
          <w:szCs w:val="21"/>
        </w:rPr>
      </w:pPr>
      <w:r w:rsidRPr="00023F17">
        <w:rPr>
          <w:rStyle w:val="cf01"/>
          <w:rFonts w:ascii="Arial" w:hAnsi="Arial" w:cs="Arial"/>
          <w:b w:val="0"/>
          <w:bCs w:val="0"/>
          <w:sz w:val="21"/>
          <w:szCs w:val="21"/>
        </w:rPr>
        <w:lastRenderedPageBreak/>
        <w:t xml:space="preserve">FDA=US Food and Drug Administration; </w:t>
      </w:r>
      <w:r w:rsidR="00F90122" w:rsidRPr="00023F17">
        <w:rPr>
          <w:rStyle w:val="cf01"/>
          <w:rFonts w:ascii="Arial" w:hAnsi="Arial" w:cs="Arial"/>
          <w:b w:val="0"/>
          <w:bCs w:val="0"/>
          <w:sz w:val="21"/>
          <w:szCs w:val="21"/>
        </w:rPr>
        <w:t>LS=</w:t>
      </w:r>
      <w:r w:rsidR="00C31229" w:rsidRPr="00023F17">
        <w:rPr>
          <w:rStyle w:val="cf01"/>
          <w:rFonts w:ascii="Arial" w:hAnsi="Arial" w:cs="Arial"/>
          <w:b w:val="0"/>
          <w:bCs w:val="0"/>
          <w:sz w:val="21"/>
          <w:szCs w:val="21"/>
        </w:rPr>
        <w:t xml:space="preserve">least squares; </w:t>
      </w:r>
      <w:r w:rsidR="006D5BD8" w:rsidRPr="00023F17">
        <w:rPr>
          <w:rStyle w:val="cf01"/>
          <w:rFonts w:ascii="Arial" w:hAnsi="Arial" w:cs="Arial"/>
          <w:b w:val="0"/>
          <w:bCs w:val="0"/>
          <w:sz w:val="21"/>
          <w:szCs w:val="21"/>
        </w:rPr>
        <w:t xml:space="preserve">MAO-B=monoamine oxidase-B; </w:t>
      </w:r>
      <w:r w:rsidR="00C31229" w:rsidRPr="00023F17">
        <w:rPr>
          <w:rStyle w:val="cf01"/>
          <w:rFonts w:ascii="Arial" w:hAnsi="Arial" w:cs="Arial"/>
          <w:b w:val="0"/>
          <w:bCs w:val="0"/>
          <w:sz w:val="21"/>
          <w:szCs w:val="21"/>
        </w:rPr>
        <w:t>SE=standard error</w:t>
      </w:r>
      <w:r w:rsidR="00A02562" w:rsidRPr="00023F17">
        <w:rPr>
          <w:rStyle w:val="cf01"/>
          <w:rFonts w:ascii="Arial" w:hAnsi="Arial" w:cs="Arial"/>
          <w:b w:val="0"/>
          <w:bCs w:val="0"/>
          <w:sz w:val="21"/>
          <w:szCs w:val="21"/>
        </w:rPr>
        <w:t xml:space="preserve">. </w:t>
      </w:r>
    </w:p>
    <w:p w14:paraId="2AEB9A6C" w14:textId="77777777" w:rsidR="00630A4B" w:rsidRDefault="00630A4B" w:rsidP="004B2467">
      <w:pPr>
        <w:rPr>
          <w:rStyle w:val="cf01"/>
          <w:sz w:val="21"/>
          <w:szCs w:val="21"/>
        </w:rPr>
      </w:pPr>
    </w:p>
    <w:p w14:paraId="3D1C1325" w14:textId="24C44EB8" w:rsidR="00AF1126" w:rsidRPr="004B2467" w:rsidRDefault="001E464B" w:rsidP="004B2467">
      <w:pPr>
        <w:rPr>
          <w:rFonts w:ascii="Arial" w:hAnsi="Arial" w:cs="Arial"/>
          <w:bCs/>
          <w:sz w:val="21"/>
          <w:szCs w:val="21"/>
        </w:rPr>
      </w:pPr>
      <w:r w:rsidRPr="00C00C6C">
        <w:rPr>
          <w:rStyle w:val="cf01"/>
          <w:rFonts w:ascii="Arial" w:hAnsi="Arial" w:cs="Arial"/>
          <w:sz w:val="21"/>
          <w:szCs w:val="21"/>
        </w:rPr>
        <w:t>R</w:t>
      </w:r>
      <w:r w:rsidR="00DA052E" w:rsidRPr="00C00C6C">
        <w:rPr>
          <w:rStyle w:val="cf01"/>
          <w:rFonts w:ascii="Arial" w:hAnsi="Arial" w:cs="Arial"/>
          <w:sz w:val="21"/>
          <w:szCs w:val="21"/>
        </w:rPr>
        <w:t>eferences:</w:t>
      </w:r>
      <w:r w:rsidR="00FD28DB" w:rsidRPr="00C00C6C">
        <w:rPr>
          <w:rStyle w:val="cf01"/>
          <w:rFonts w:ascii="Arial" w:hAnsi="Arial" w:cs="Arial"/>
          <w:sz w:val="21"/>
          <w:szCs w:val="21"/>
        </w:rPr>
        <w:t xml:space="preserve"> </w:t>
      </w:r>
      <w:r w:rsidRPr="00C00C6C">
        <w:rPr>
          <w:rStyle w:val="cf01"/>
          <w:rFonts w:ascii="Arial" w:hAnsi="Arial" w:cs="Arial"/>
          <w:sz w:val="21"/>
          <w:szCs w:val="21"/>
        </w:rPr>
        <w:t>1.</w:t>
      </w:r>
      <w:r w:rsidRPr="00AF1126">
        <w:rPr>
          <w:rStyle w:val="cf01"/>
          <w:rFonts w:ascii="Arial" w:hAnsi="Arial" w:cs="Arial"/>
          <w:sz w:val="21"/>
          <w:szCs w:val="21"/>
        </w:rPr>
        <w:t xml:space="preserve"> </w:t>
      </w:r>
      <w:r w:rsidRPr="00AF1126">
        <w:rPr>
          <w:rStyle w:val="cf11"/>
          <w:rFonts w:ascii="Arial" w:hAnsi="Arial" w:cs="Arial"/>
          <w:sz w:val="21"/>
          <w:szCs w:val="21"/>
        </w:rPr>
        <w:t xml:space="preserve">Chou KL, Stacy M, Simuni T, et al. The spectrum of “off” in Parkinson’s disease: </w:t>
      </w:r>
      <w:r w:rsidR="00C6418C">
        <w:rPr>
          <w:rStyle w:val="cf11"/>
          <w:rFonts w:ascii="Arial" w:hAnsi="Arial" w:cs="Arial"/>
          <w:sz w:val="21"/>
          <w:szCs w:val="21"/>
        </w:rPr>
        <w:t>w</w:t>
      </w:r>
      <w:r w:rsidRPr="00AF1126">
        <w:rPr>
          <w:rStyle w:val="cf11"/>
          <w:rFonts w:ascii="Arial" w:hAnsi="Arial" w:cs="Arial"/>
          <w:sz w:val="21"/>
          <w:szCs w:val="21"/>
        </w:rPr>
        <w:t xml:space="preserve">hat have we learned over 40 years? </w:t>
      </w:r>
      <w:r w:rsidRPr="00AF1126">
        <w:rPr>
          <w:rStyle w:val="cf21"/>
          <w:rFonts w:ascii="Arial" w:hAnsi="Arial" w:cs="Arial"/>
          <w:sz w:val="21"/>
          <w:szCs w:val="21"/>
        </w:rPr>
        <w:t xml:space="preserve">Parkinsonism </w:t>
      </w:r>
      <w:proofErr w:type="spellStart"/>
      <w:r w:rsidRPr="00AF1126">
        <w:rPr>
          <w:rStyle w:val="cf21"/>
          <w:rFonts w:ascii="Arial" w:hAnsi="Arial" w:cs="Arial"/>
          <w:sz w:val="21"/>
          <w:szCs w:val="21"/>
        </w:rPr>
        <w:t>Relat</w:t>
      </w:r>
      <w:proofErr w:type="spellEnd"/>
      <w:r w:rsidRPr="00AF1126">
        <w:rPr>
          <w:rStyle w:val="cf21"/>
          <w:rFonts w:ascii="Arial" w:hAnsi="Arial" w:cs="Arial"/>
          <w:sz w:val="21"/>
          <w:szCs w:val="21"/>
        </w:rPr>
        <w:t xml:space="preserve"> </w:t>
      </w:r>
      <w:proofErr w:type="spellStart"/>
      <w:r w:rsidRPr="00AF1126">
        <w:rPr>
          <w:rStyle w:val="cf21"/>
          <w:rFonts w:ascii="Arial" w:hAnsi="Arial" w:cs="Arial"/>
          <w:sz w:val="21"/>
          <w:szCs w:val="21"/>
        </w:rPr>
        <w:t>Disord</w:t>
      </w:r>
      <w:proofErr w:type="spellEnd"/>
      <w:r w:rsidRPr="00AF1126">
        <w:rPr>
          <w:rStyle w:val="cf11"/>
          <w:rFonts w:ascii="Arial" w:hAnsi="Arial" w:cs="Arial"/>
          <w:sz w:val="21"/>
          <w:szCs w:val="21"/>
        </w:rPr>
        <w:t xml:space="preserve">. </w:t>
      </w:r>
      <w:proofErr w:type="gramStart"/>
      <w:r w:rsidRPr="00AF1126">
        <w:rPr>
          <w:rStyle w:val="cf11"/>
          <w:rFonts w:ascii="Arial" w:hAnsi="Arial" w:cs="Arial"/>
          <w:sz w:val="21"/>
          <w:szCs w:val="21"/>
        </w:rPr>
        <w:t>2018;51:9</w:t>
      </w:r>
      <w:proofErr w:type="gramEnd"/>
      <w:r w:rsidRPr="00AF1126">
        <w:rPr>
          <w:rStyle w:val="cf11"/>
          <w:rFonts w:ascii="Arial" w:hAnsi="Arial" w:cs="Arial"/>
          <w:sz w:val="21"/>
          <w:szCs w:val="21"/>
        </w:rPr>
        <w:t xml:space="preserve">-16. </w:t>
      </w:r>
      <w:r w:rsidRPr="00AF1126">
        <w:rPr>
          <w:rStyle w:val="cf01"/>
          <w:rFonts w:ascii="Arial" w:hAnsi="Arial" w:cs="Arial"/>
          <w:sz w:val="21"/>
          <w:szCs w:val="21"/>
        </w:rPr>
        <w:t xml:space="preserve">2. </w:t>
      </w:r>
      <w:proofErr w:type="spellStart"/>
      <w:r w:rsidRPr="00AF1126">
        <w:rPr>
          <w:rStyle w:val="cf11"/>
          <w:rFonts w:ascii="Arial" w:hAnsi="Arial" w:cs="Arial"/>
          <w:sz w:val="21"/>
          <w:szCs w:val="21"/>
        </w:rPr>
        <w:t>Stocchi</w:t>
      </w:r>
      <w:proofErr w:type="spellEnd"/>
      <w:r w:rsidRPr="00AF1126">
        <w:rPr>
          <w:rStyle w:val="cf11"/>
          <w:rFonts w:ascii="Arial" w:hAnsi="Arial" w:cs="Arial"/>
          <w:sz w:val="21"/>
          <w:szCs w:val="21"/>
        </w:rPr>
        <w:t xml:space="preserve"> F, Antonini A, Barone P</w:t>
      </w:r>
      <w:r w:rsidR="00E8065C">
        <w:rPr>
          <w:rStyle w:val="cf11"/>
          <w:rFonts w:ascii="Arial" w:hAnsi="Arial" w:cs="Arial"/>
          <w:sz w:val="21"/>
          <w:szCs w:val="21"/>
        </w:rPr>
        <w:t xml:space="preserve">, </w:t>
      </w:r>
      <w:r w:rsidRPr="00AF1126">
        <w:rPr>
          <w:rStyle w:val="cf11"/>
          <w:rFonts w:ascii="Arial" w:hAnsi="Arial" w:cs="Arial"/>
          <w:sz w:val="21"/>
          <w:szCs w:val="21"/>
        </w:rPr>
        <w:t xml:space="preserve">et al. Early </w:t>
      </w:r>
      <w:proofErr w:type="spellStart"/>
      <w:r w:rsidRPr="00AF1126">
        <w:rPr>
          <w:rStyle w:val="cf11"/>
          <w:rFonts w:ascii="Arial" w:hAnsi="Arial" w:cs="Arial"/>
          <w:sz w:val="21"/>
          <w:szCs w:val="21"/>
        </w:rPr>
        <w:t>DEtection</w:t>
      </w:r>
      <w:proofErr w:type="spellEnd"/>
      <w:r w:rsidRPr="00AF1126">
        <w:rPr>
          <w:rStyle w:val="cf11"/>
          <w:rFonts w:ascii="Arial" w:hAnsi="Arial" w:cs="Arial"/>
          <w:sz w:val="21"/>
          <w:szCs w:val="21"/>
        </w:rPr>
        <w:t xml:space="preserve"> of </w:t>
      </w:r>
      <w:proofErr w:type="spellStart"/>
      <w:r w:rsidRPr="00AF1126">
        <w:rPr>
          <w:rStyle w:val="cf11"/>
          <w:rFonts w:ascii="Arial" w:hAnsi="Arial" w:cs="Arial"/>
          <w:sz w:val="21"/>
          <w:szCs w:val="21"/>
        </w:rPr>
        <w:t>wEaring</w:t>
      </w:r>
      <w:proofErr w:type="spellEnd"/>
      <w:r w:rsidRPr="00AF1126">
        <w:rPr>
          <w:rStyle w:val="cf11"/>
          <w:rFonts w:ascii="Arial" w:hAnsi="Arial" w:cs="Arial"/>
          <w:sz w:val="21"/>
          <w:szCs w:val="21"/>
        </w:rPr>
        <w:t xml:space="preserve"> off in Parkinson disease: </w:t>
      </w:r>
      <w:r w:rsidR="00C6418C">
        <w:rPr>
          <w:rStyle w:val="cf11"/>
          <w:rFonts w:ascii="Arial" w:hAnsi="Arial" w:cs="Arial"/>
          <w:sz w:val="21"/>
          <w:szCs w:val="21"/>
        </w:rPr>
        <w:t>t</w:t>
      </w:r>
      <w:r w:rsidRPr="00AF1126">
        <w:rPr>
          <w:rStyle w:val="cf11"/>
          <w:rFonts w:ascii="Arial" w:hAnsi="Arial" w:cs="Arial"/>
          <w:sz w:val="21"/>
          <w:szCs w:val="21"/>
        </w:rPr>
        <w:t xml:space="preserve">he DEEP study. </w:t>
      </w:r>
      <w:r w:rsidRPr="00AF1126">
        <w:rPr>
          <w:rStyle w:val="cf21"/>
          <w:rFonts w:ascii="Arial" w:hAnsi="Arial" w:cs="Arial"/>
          <w:sz w:val="21"/>
          <w:szCs w:val="21"/>
        </w:rPr>
        <w:t xml:space="preserve">Parkinsonism </w:t>
      </w:r>
      <w:proofErr w:type="spellStart"/>
      <w:r w:rsidRPr="00AF1126">
        <w:rPr>
          <w:rStyle w:val="cf21"/>
          <w:rFonts w:ascii="Arial" w:hAnsi="Arial" w:cs="Arial"/>
          <w:sz w:val="21"/>
          <w:szCs w:val="21"/>
        </w:rPr>
        <w:t>Relat</w:t>
      </w:r>
      <w:proofErr w:type="spellEnd"/>
      <w:r w:rsidRPr="00AF1126">
        <w:rPr>
          <w:rStyle w:val="cf21"/>
          <w:rFonts w:ascii="Arial" w:hAnsi="Arial" w:cs="Arial"/>
          <w:sz w:val="21"/>
          <w:szCs w:val="21"/>
        </w:rPr>
        <w:t xml:space="preserve"> </w:t>
      </w:r>
      <w:proofErr w:type="spellStart"/>
      <w:r w:rsidRPr="00AF1126">
        <w:rPr>
          <w:rStyle w:val="cf21"/>
          <w:rFonts w:ascii="Arial" w:hAnsi="Arial" w:cs="Arial"/>
          <w:sz w:val="21"/>
          <w:szCs w:val="21"/>
        </w:rPr>
        <w:t>Disord</w:t>
      </w:r>
      <w:proofErr w:type="spellEnd"/>
      <w:r w:rsidRPr="00AF1126">
        <w:rPr>
          <w:rStyle w:val="cf21"/>
          <w:rFonts w:ascii="Arial" w:hAnsi="Arial" w:cs="Arial"/>
          <w:sz w:val="21"/>
          <w:szCs w:val="21"/>
        </w:rPr>
        <w:t xml:space="preserve">. </w:t>
      </w:r>
      <w:r w:rsidRPr="00AF1126">
        <w:rPr>
          <w:rStyle w:val="cf11"/>
          <w:rFonts w:ascii="Arial" w:hAnsi="Arial" w:cs="Arial"/>
          <w:sz w:val="21"/>
          <w:szCs w:val="21"/>
        </w:rPr>
        <w:t>2014;20</w:t>
      </w:r>
      <w:r w:rsidR="00C6105C">
        <w:rPr>
          <w:rStyle w:val="cf11"/>
          <w:rFonts w:ascii="Arial" w:hAnsi="Arial" w:cs="Arial"/>
          <w:sz w:val="21"/>
          <w:szCs w:val="21"/>
        </w:rPr>
        <w:t>(2)</w:t>
      </w:r>
      <w:r w:rsidRPr="00AF1126">
        <w:rPr>
          <w:rStyle w:val="cf11"/>
          <w:rFonts w:ascii="Arial" w:hAnsi="Arial" w:cs="Arial"/>
          <w:sz w:val="21"/>
          <w:szCs w:val="21"/>
        </w:rPr>
        <w:t xml:space="preserve">:204-211. </w:t>
      </w:r>
      <w:r w:rsidR="00AF1126">
        <w:rPr>
          <w:rFonts w:ascii="Arial" w:hAnsi="Arial" w:cs="Arial"/>
          <w:b/>
          <w:sz w:val="21"/>
          <w:szCs w:val="21"/>
        </w:rPr>
        <w:t>3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Tambasco N, </w:t>
      </w:r>
      <w:proofErr w:type="spellStart"/>
      <w:r w:rsidR="00AF1126" w:rsidRPr="00AF1126">
        <w:rPr>
          <w:rFonts w:ascii="Arial" w:hAnsi="Arial" w:cs="Arial"/>
          <w:bCs/>
          <w:sz w:val="21"/>
          <w:szCs w:val="21"/>
        </w:rPr>
        <w:t>Romoli</w:t>
      </w:r>
      <w:proofErr w:type="spellEnd"/>
      <w:r w:rsidR="00AF1126" w:rsidRPr="00AF1126">
        <w:rPr>
          <w:rFonts w:ascii="Arial" w:hAnsi="Arial" w:cs="Arial"/>
          <w:bCs/>
          <w:sz w:val="21"/>
          <w:szCs w:val="21"/>
        </w:rPr>
        <w:t xml:space="preserve"> M, Calabresi P. Levodopa in Parkinson’s disease: </w:t>
      </w:r>
      <w:proofErr w:type="gramStart"/>
      <w:r w:rsidR="00AF1126" w:rsidRPr="00AF1126">
        <w:rPr>
          <w:rFonts w:ascii="Arial" w:hAnsi="Arial" w:cs="Arial"/>
          <w:bCs/>
          <w:sz w:val="21"/>
          <w:szCs w:val="21"/>
        </w:rPr>
        <w:t>current status</w:t>
      </w:r>
      <w:proofErr w:type="gramEnd"/>
      <w:r w:rsidR="00AF1126" w:rsidRPr="00AF1126">
        <w:rPr>
          <w:rFonts w:ascii="Arial" w:hAnsi="Arial" w:cs="Arial"/>
          <w:bCs/>
          <w:sz w:val="21"/>
          <w:szCs w:val="21"/>
        </w:rPr>
        <w:t xml:space="preserve"> and future developments. </w:t>
      </w:r>
      <w:r w:rsidR="00AF1126" w:rsidRPr="00AF1126">
        <w:rPr>
          <w:rFonts w:ascii="Arial" w:hAnsi="Arial" w:cs="Arial"/>
          <w:bCs/>
          <w:i/>
          <w:iCs/>
          <w:sz w:val="21"/>
          <w:szCs w:val="21"/>
        </w:rPr>
        <w:t xml:space="preserve">Curr </w:t>
      </w:r>
      <w:proofErr w:type="spellStart"/>
      <w:r w:rsidR="00AF1126" w:rsidRPr="00AF1126">
        <w:rPr>
          <w:rFonts w:ascii="Arial" w:hAnsi="Arial" w:cs="Arial"/>
          <w:bCs/>
          <w:i/>
          <w:iCs/>
          <w:sz w:val="21"/>
          <w:szCs w:val="21"/>
        </w:rPr>
        <w:t>Neuropharmacol</w:t>
      </w:r>
      <w:proofErr w:type="spellEnd"/>
      <w:r w:rsidR="00AF1126" w:rsidRPr="00AF1126">
        <w:rPr>
          <w:rFonts w:ascii="Arial" w:hAnsi="Arial" w:cs="Arial"/>
          <w:bCs/>
          <w:sz w:val="21"/>
          <w:szCs w:val="21"/>
        </w:rPr>
        <w:t xml:space="preserve">. 2018;16(8):1239-1252. </w:t>
      </w:r>
      <w:r w:rsidR="00AF1126">
        <w:rPr>
          <w:rFonts w:ascii="Arial" w:hAnsi="Arial" w:cs="Arial"/>
          <w:b/>
          <w:sz w:val="21"/>
          <w:szCs w:val="21"/>
        </w:rPr>
        <w:t>4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</w:t>
      </w:r>
      <w:r w:rsidR="004311FF" w:rsidRPr="00AF1126">
        <w:rPr>
          <w:rFonts w:ascii="Arial" w:hAnsi="Arial" w:cs="Arial"/>
          <w:bCs/>
          <w:sz w:val="21"/>
          <w:szCs w:val="21"/>
        </w:rPr>
        <w:t xml:space="preserve">Männistö PT, </w:t>
      </w:r>
      <w:proofErr w:type="spellStart"/>
      <w:r w:rsidR="004311FF" w:rsidRPr="00AF1126">
        <w:rPr>
          <w:rFonts w:ascii="Arial" w:hAnsi="Arial" w:cs="Arial"/>
          <w:bCs/>
          <w:sz w:val="21"/>
          <w:szCs w:val="21"/>
        </w:rPr>
        <w:t>Kaakkola</w:t>
      </w:r>
      <w:proofErr w:type="spellEnd"/>
      <w:r w:rsidR="004311FF" w:rsidRPr="00AF1126">
        <w:rPr>
          <w:rFonts w:ascii="Arial" w:hAnsi="Arial" w:cs="Arial"/>
          <w:bCs/>
          <w:sz w:val="21"/>
          <w:szCs w:val="21"/>
        </w:rPr>
        <w:t xml:space="preserve"> S. Catechol-O-methyltransferase (COMT): biochemistry, molecular biology, pharmacology, and clinical efficacy of the new selective COMT inhibitors. </w:t>
      </w:r>
      <w:proofErr w:type="spellStart"/>
      <w:r w:rsidR="004311FF" w:rsidRPr="00AF1126">
        <w:rPr>
          <w:rFonts w:ascii="Arial" w:hAnsi="Arial" w:cs="Arial"/>
          <w:bCs/>
          <w:i/>
          <w:iCs/>
          <w:sz w:val="21"/>
          <w:szCs w:val="21"/>
        </w:rPr>
        <w:t>Pharmacol</w:t>
      </w:r>
      <w:proofErr w:type="spellEnd"/>
      <w:r w:rsidR="004311FF" w:rsidRPr="00AF1126">
        <w:rPr>
          <w:rFonts w:ascii="Arial" w:hAnsi="Arial" w:cs="Arial"/>
          <w:bCs/>
          <w:i/>
          <w:iCs/>
          <w:sz w:val="21"/>
          <w:szCs w:val="21"/>
        </w:rPr>
        <w:t xml:space="preserve"> Rev</w:t>
      </w:r>
      <w:r w:rsidR="004311FF" w:rsidRPr="00AF1126">
        <w:rPr>
          <w:rFonts w:ascii="Arial" w:hAnsi="Arial" w:cs="Arial"/>
          <w:bCs/>
          <w:sz w:val="21"/>
          <w:szCs w:val="21"/>
        </w:rPr>
        <w:t>. 1999;51(4):59</w:t>
      </w:r>
      <w:r w:rsidR="005924B4">
        <w:rPr>
          <w:rFonts w:ascii="Arial" w:hAnsi="Arial" w:cs="Arial"/>
          <w:bCs/>
          <w:sz w:val="21"/>
          <w:szCs w:val="21"/>
        </w:rPr>
        <w:t>3</w:t>
      </w:r>
      <w:r w:rsidR="004311FF" w:rsidRPr="00AF1126">
        <w:rPr>
          <w:rFonts w:ascii="Arial" w:hAnsi="Arial" w:cs="Arial"/>
          <w:bCs/>
          <w:sz w:val="21"/>
          <w:szCs w:val="21"/>
        </w:rPr>
        <w:t>-628</w:t>
      </w:r>
      <w:r w:rsidR="003B6137">
        <w:rPr>
          <w:rFonts w:ascii="Arial" w:hAnsi="Arial" w:cs="Arial"/>
          <w:bCs/>
          <w:sz w:val="21"/>
          <w:szCs w:val="21"/>
        </w:rPr>
        <w:t xml:space="preserve">. </w:t>
      </w:r>
      <w:r w:rsidR="00AF1126">
        <w:rPr>
          <w:rFonts w:ascii="Arial" w:hAnsi="Arial" w:cs="Arial"/>
          <w:b/>
          <w:sz w:val="21"/>
          <w:szCs w:val="21"/>
        </w:rPr>
        <w:t>5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</w:t>
      </w:r>
      <w:r w:rsidR="003B6137" w:rsidRPr="00AF1126">
        <w:rPr>
          <w:rFonts w:ascii="Arial" w:hAnsi="Arial" w:cs="Arial"/>
          <w:bCs/>
          <w:sz w:val="21"/>
          <w:szCs w:val="21"/>
        </w:rPr>
        <w:t xml:space="preserve">Connolly BS, Lang AE. Pharmacological treatment of Parkinson disease: a review. </w:t>
      </w:r>
      <w:r w:rsidR="003B6137" w:rsidRPr="00AF1126">
        <w:rPr>
          <w:rFonts w:ascii="Arial" w:hAnsi="Arial" w:cs="Arial"/>
          <w:bCs/>
          <w:i/>
          <w:iCs/>
          <w:sz w:val="21"/>
          <w:szCs w:val="21"/>
        </w:rPr>
        <w:t>JAMA</w:t>
      </w:r>
      <w:r w:rsidR="003B6137" w:rsidRPr="00AF1126">
        <w:rPr>
          <w:rFonts w:ascii="Arial" w:hAnsi="Arial" w:cs="Arial"/>
          <w:bCs/>
          <w:sz w:val="21"/>
          <w:szCs w:val="21"/>
        </w:rPr>
        <w:t>. 2014;311(16):1670-1683.</w:t>
      </w:r>
      <w:r w:rsidR="003B6137">
        <w:rPr>
          <w:rFonts w:ascii="Arial" w:hAnsi="Arial" w:cs="Arial"/>
          <w:bCs/>
          <w:sz w:val="21"/>
          <w:szCs w:val="21"/>
        </w:rPr>
        <w:t xml:space="preserve"> </w:t>
      </w:r>
      <w:r w:rsidR="00AF1126">
        <w:rPr>
          <w:rFonts w:ascii="Arial" w:hAnsi="Arial" w:cs="Arial"/>
          <w:b/>
          <w:sz w:val="21"/>
          <w:szCs w:val="21"/>
        </w:rPr>
        <w:t>6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</w:t>
      </w:r>
      <w:r w:rsidR="003B6137" w:rsidRPr="00AF1126">
        <w:rPr>
          <w:rFonts w:ascii="Arial" w:hAnsi="Arial" w:cs="Arial"/>
          <w:bCs/>
          <w:sz w:val="21"/>
          <w:szCs w:val="21"/>
        </w:rPr>
        <w:t xml:space="preserve">LeWitt PA. Levodopa for the treatment of Parkinson’s disease. </w:t>
      </w:r>
      <w:r w:rsidR="003B6137" w:rsidRPr="00AF1126">
        <w:rPr>
          <w:rFonts w:ascii="Arial" w:hAnsi="Arial" w:cs="Arial"/>
          <w:bCs/>
          <w:i/>
          <w:iCs/>
          <w:sz w:val="21"/>
          <w:szCs w:val="21"/>
        </w:rPr>
        <w:t>N Engl J Med</w:t>
      </w:r>
      <w:r w:rsidR="003B6137" w:rsidRPr="00AF1126">
        <w:rPr>
          <w:rFonts w:ascii="Arial" w:hAnsi="Arial" w:cs="Arial"/>
          <w:bCs/>
          <w:sz w:val="21"/>
          <w:szCs w:val="21"/>
        </w:rPr>
        <w:t xml:space="preserve">. 2008;359(23):2468-2476. </w:t>
      </w:r>
      <w:r w:rsidR="00AF1126">
        <w:rPr>
          <w:rFonts w:ascii="Arial" w:hAnsi="Arial" w:cs="Arial"/>
          <w:b/>
          <w:sz w:val="21"/>
          <w:szCs w:val="21"/>
        </w:rPr>
        <w:t>7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Reilly DK, Rivera-Calimlim L, Van Dyke D. Catechol-O-methyltransferase activity: a determinant of levodopa response. </w:t>
      </w:r>
      <w:r w:rsidR="00AF1126" w:rsidRPr="00AF1126">
        <w:rPr>
          <w:rFonts w:ascii="Arial" w:hAnsi="Arial" w:cs="Arial"/>
          <w:bCs/>
          <w:i/>
          <w:iCs/>
          <w:sz w:val="21"/>
          <w:szCs w:val="21"/>
        </w:rPr>
        <w:t xml:space="preserve">Clin </w:t>
      </w:r>
      <w:proofErr w:type="spellStart"/>
      <w:r w:rsidR="00AF1126" w:rsidRPr="00AF1126">
        <w:rPr>
          <w:rFonts w:ascii="Arial" w:hAnsi="Arial" w:cs="Arial"/>
          <w:bCs/>
          <w:i/>
          <w:iCs/>
          <w:sz w:val="21"/>
          <w:szCs w:val="21"/>
        </w:rPr>
        <w:t>Pharmacol</w:t>
      </w:r>
      <w:proofErr w:type="spellEnd"/>
      <w:r w:rsidR="00AF1126" w:rsidRPr="00AF1126">
        <w:rPr>
          <w:rFonts w:ascii="Arial" w:hAnsi="Arial" w:cs="Arial"/>
          <w:bCs/>
          <w:i/>
          <w:iCs/>
          <w:sz w:val="21"/>
          <w:szCs w:val="21"/>
        </w:rPr>
        <w:t xml:space="preserve"> Ther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. 1980;28(2):278-286. </w:t>
      </w:r>
      <w:r w:rsidR="00AF1126">
        <w:rPr>
          <w:rFonts w:ascii="Arial" w:hAnsi="Arial" w:cs="Arial"/>
          <w:b/>
          <w:sz w:val="21"/>
          <w:szCs w:val="21"/>
        </w:rPr>
        <w:t>8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</w:t>
      </w:r>
      <w:r w:rsidR="007510CE" w:rsidRPr="007510CE">
        <w:rPr>
          <w:rFonts w:ascii="Arial" w:hAnsi="Arial" w:cs="Arial"/>
          <w:bCs/>
          <w:sz w:val="21"/>
          <w:szCs w:val="21"/>
        </w:rPr>
        <w:t xml:space="preserve">Andersson I, </w:t>
      </w:r>
      <w:proofErr w:type="spellStart"/>
      <w:r w:rsidR="007510CE" w:rsidRPr="007510CE">
        <w:rPr>
          <w:rFonts w:ascii="Arial" w:hAnsi="Arial" w:cs="Arial"/>
          <w:bCs/>
          <w:sz w:val="21"/>
          <w:szCs w:val="21"/>
        </w:rPr>
        <w:t>Granerus</w:t>
      </w:r>
      <w:proofErr w:type="spellEnd"/>
      <w:r w:rsidR="007510CE" w:rsidRPr="007510CE">
        <w:rPr>
          <w:rFonts w:ascii="Arial" w:hAnsi="Arial" w:cs="Arial"/>
          <w:bCs/>
          <w:sz w:val="21"/>
          <w:szCs w:val="21"/>
        </w:rPr>
        <w:t xml:space="preserve"> AK, </w:t>
      </w:r>
      <w:proofErr w:type="spellStart"/>
      <w:r w:rsidR="007510CE" w:rsidRPr="007510CE">
        <w:rPr>
          <w:rFonts w:ascii="Arial" w:hAnsi="Arial" w:cs="Arial"/>
          <w:bCs/>
          <w:sz w:val="21"/>
          <w:szCs w:val="21"/>
        </w:rPr>
        <w:t>Jagenburg</w:t>
      </w:r>
      <w:proofErr w:type="spellEnd"/>
      <w:r w:rsidR="007510CE" w:rsidRPr="007510CE">
        <w:rPr>
          <w:rFonts w:ascii="Arial" w:hAnsi="Arial" w:cs="Arial"/>
          <w:bCs/>
          <w:sz w:val="21"/>
          <w:szCs w:val="21"/>
        </w:rPr>
        <w:t xml:space="preserve"> R, Svanborg A. Intestinal decarboxylation of orally administered L-dopa: influence of pharmacological preparation, dose magnitude, dose sequence and food intake. </w:t>
      </w:r>
      <w:r w:rsidR="007510CE" w:rsidRPr="00FC0591">
        <w:rPr>
          <w:rFonts w:ascii="Arial" w:hAnsi="Arial" w:cs="Arial"/>
          <w:bCs/>
          <w:i/>
          <w:iCs/>
          <w:sz w:val="21"/>
          <w:szCs w:val="21"/>
        </w:rPr>
        <w:t>Acta Med Scand</w:t>
      </w:r>
      <w:r w:rsidR="007510CE" w:rsidRPr="007510CE">
        <w:rPr>
          <w:rFonts w:ascii="Arial" w:hAnsi="Arial" w:cs="Arial"/>
          <w:bCs/>
          <w:sz w:val="21"/>
          <w:szCs w:val="21"/>
        </w:rPr>
        <w:t>. 1975;198(5):415-420.</w:t>
      </w:r>
      <w:r w:rsidR="009C4696">
        <w:rPr>
          <w:rFonts w:ascii="Arial" w:hAnsi="Arial" w:cs="Arial"/>
          <w:bCs/>
          <w:sz w:val="21"/>
          <w:szCs w:val="21"/>
        </w:rPr>
        <w:t xml:space="preserve"> </w:t>
      </w:r>
      <w:r w:rsidR="00AF1126">
        <w:rPr>
          <w:rFonts w:ascii="Arial" w:hAnsi="Arial" w:cs="Arial"/>
          <w:b/>
          <w:sz w:val="21"/>
          <w:szCs w:val="21"/>
        </w:rPr>
        <w:t>9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</w:t>
      </w:r>
      <w:r w:rsidR="001444F3" w:rsidRPr="001444F3">
        <w:rPr>
          <w:rFonts w:ascii="Arial" w:hAnsi="Arial" w:cs="Arial"/>
          <w:bCs/>
          <w:sz w:val="21"/>
          <w:szCs w:val="21"/>
        </w:rPr>
        <w:t xml:space="preserve">Fabbri M, Rosa MM, Ferreira JJ. Adjunctive therapies in Parkinson’s disease: how to choose the best treatment strategy approach. </w:t>
      </w:r>
      <w:r w:rsidR="001444F3" w:rsidRPr="001444F3">
        <w:rPr>
          <w:rFonts w:ascii="Arial" w:hAnsi="Arial" w:cs="Arial"/>
          <w:bCs/>
          <w:i/>
          <w:iCs/>
          <w:sz w:val="21"/>
          <w:szCs w:val="21"/>
        </w:rPr>
        <w:t>Drugs Aging</w:t>
      </w:r>
      <w:r w:rsidR="001444F3" w:rsidRPr="001444F3">
        <w:rPr>
          <w:rFonts w:ascii="Arial" w:hAnsi="Arial" w:cs="Arial"/>
          <w:bCs/>
          <w:sz w:val="21"/>
          <w:szCs w:val="21"/>
        </w:rPr>
        <w:t>. 2018;35(12):1041-1054.</w:t>
      </w:r>
      <w:r w:rsidR="003F1E92">
        <w:rPr>
          <w:rFonts w:ascii="Arial" w:hAnsi="Arial" w:cs="Arial"/>
          <w:bCs/>
          <w:sz w:val="21"/>
          <w:szCs w:val="21"/>
        </w:rPr>
        <w:t xml:space="preserve"> </w:t>
      </w:r>
      <w:r w:rsidR="00AF1126">
        <w:rPr>
          <w:rFonts w:ascii="Arial" w:hAnsi="Arial" w:cs="Arial"/>
          <w:b/>
          <w:sz w:val="21"/>
          <w:szCs w:val="21"/>
        </w:rPr>
        <w:t>10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</w:t>
      </w:r>
      <w:r w:rsidR="00A97966" w:rsidRPr="00A97966">
        <w:rPr>
          <w:rFonts w:ascii="Arial" w:hAnsi="Arial" w:cs="Arial"/>
          <w:bCs/>
          <w:sz w:val="21"/>
          <w:szCs w:val="21"/>
        </w:rPr>
        <w:t xml:space="preserve">Ondo WG. Motor complications in Parkinson’s disease. </w:t>
      </w:r>
      <w:r w:rsidR="00A97966" w:rsidRPr="00A97966">
        <w:rPr>
          <w:rFonts w:ascii="Arial" w:hAnsi="Arial" w:cs="Arial"/>
          <w:bCs/>
          <w:i/>
          <w:iCs/>
          <w:sz w:val="21"/>
          <w:szCs w:val="21"/>
        </w:rPr>
        <w:t xml:space="preserve">Int J </w:t>
      </w:r>
      <w:proofErr w:type="spellStart"/>
      <w:r w:rsidR="00A97966" w:rsidRPr="00A97966">
        <w:rPr>
          <w:rFonts w:ascii="Arial" w:hAnsi="Arial" w:cs="Arial"/>
          <w:bCs/>
          <w:i/>
          <w:iCs/>
          <w:sz w:val="21"/>
          <w:szCs w:val="21"/>
        </w:rPr>
        <w:t>Neurosci</w:t>
      </w:r>
      <w:proofErr w:type="spellEnd"/>
      <w:r w:rsidR="00A97966" w:rsidRPr="00A97966">
        <w:rPr>
          <w:rFonts w:ascii="Arial" w:hAnsi="Arial" w:cs="Arial"/>
          <w:bCs/>
          <w:sz w:val="21"/>
          <w:szCs w:val="21"/>
        </w:rPr>
        <w:t>. 2011;121(suppl 2):37-44.</w:t>
      </w:r>
      <w:r w:rsidR="00A97966">
        <w:rPr>
          <w:rFonts w:ascii="Arial" w:hAnsi="Arial" w:cs="Arial"/>
          <w:bCs/>
          <w:sz w:val="21"/>
          <w:szCs w:val="21"/>
        </w:rPr>
        <w:t xml:space="preserve"> </w:t>
      </w:r>
      <w:r w:rsidR="00A97966">
        <w:rPr>
          <w:rFonts w:ascii="Arial" w:hAnsi="Arial" w:cs="Arial"/>
          <w:b/>
          <w:sz w:val="21"/>
          <w:szCs w:val="21"/>
        </w:rPr>
        <w:t>11</w:t>
      </w:r>
      <w:r w:rsidR="00A97966" w:rsidRPr="00AF1126">
        <w:rPr>
          <w:rFonts w:ascii="Arial" w:hAnsi="Arial" w:cs="Arial"/>
          <w:b/>
          <w:sz w:val="21"/>
          <w:szCs w:val="21"/>
        </w:rPr>
        <w:t>.</w:t>
      </w:r>
      <w:r w:rsidR="00A9796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704D4" w:rsidRPr="006704D4">
        <w:rPr>
          <w:rFonts w:ascii="Arial" w:hAnsi="Arial" w:cs="Arial"/>
          <w:bCs/>
          <w:sz w:val="21"/>
          <w:szCs w:val="21"/>
        </w:rPr>
        <w:t>Olanow</w:t>
      </w:r>
      <w:proofErr w:type="spellEnd"/>
      <w:r w:rsidR="006704D4" w:rsidRPr="006704D4">
        <w:rPr>
          <w:rFonts w:ascii="Arial" w:hAnsi="Arial" w:cs="Arial"/>
          <w:bCs/>
          <w:sz w:val="21"/>
          <w:szCs w:val="21"/>
        </w:rPr>
        <w:t xml:space="preserve"> CW, Stern MB, Sethi K. The scientific and clinical basis for the treatment of Parkinson disease (2009). </w:t>
      </w:r>
      <w:r w:rsidR="006704D4" w:rsidRPr="006704D4">
        <w:rPr>
          <w:rFonts w:ascii="Arial" w:hAnsi="Arial" w:cs="Arial"/>
          <w:bCs/>
          <w:i/>
          <w:iCs/>
          <w:sz w:val="21"/>
          <w:szCs w:val="21"/>
        </w:rPr>
        <w:t>Neurology</w:t>
      </w:r>
      <w:r w:rsidR="006704D4" w:rsidRPr="006704D4">
        <w:rPr>
          <w:rFonts w:ascii="Arial" w:hAnsi="Arial" w:cs="Arial"/>
          <w:bCs/>
          <w:sz w:val="21"/>
          <w:szCs w:val="21"/>
        </w:rPr>
        <w:t>. 2009;72(</w:t>
      </w:r>
      <w:proofErr w:type="gramStart"/>
      <w:r w:rsidR="006704D4" w:rsidRPr="006704D4">
        <w:rPr>
          <w:rFonts w:ascii="Arial" w:hAnsi="Arial" w:cs="Arial"/>
          <w:bCs/>
          <w:sz w:val="21"/>
          <w:szCs w:val="21"/>
        </w:rPr>
        <w:t>21)(</w:t>
      </w:r>
      <w:proofErr w:type="gramEnd"/>
      <w:r w:rsidR="006704D4" w:rsidRPr="006704D4">
        <w:rPr>
          <w:rFonts w:ascii="Arial" w:hAnsi="Arial" w:cs="Arial"/>
          <w:bCs/>
          <w:sz w:val="21"/>
          <w:szCs w:val="21"/>
        </w:rPr>
        <w:t>suppl 4):S1-S136.</w:t>
      </w:r>
      <w:r w:rsidR="006704D4">
        <w:rPr>
          <w:rFonts w:ascii="Arial" w:hAnsi="Arial" w:cs="Arial"/>
          <w:bCs/>
          <w:sz w:val="21"/>
          <w:szCs w:val="21"/>
        </w:rPr>
        <w:t xml:space="preserve"> </w:t>
      </w:r>
      <w:r w:rsidR="006704D4" w:rsidRPr="006704D4">
        <w:rPr>
          <w:rFonts w:ascii="Arial" w:hAnsi="Arial" w:cs="Arial"/>
          <w:b/>
          <w:sz w:val="21"/>
          <w:szCs w:val="21"/>
        </w:rPr>
        <w:t>12.</w:t>
      </w:r>
      <w:r w:rsidR="006704D4">
        <w:rPr>
          <w:rFonts w:ascii="Arial" w:hAnsi="Arial" w:cs="Arial"/>
          <w:bCs/>
          <w:sz w:val="21"/>
          <w:szCs w:val="21"/>
        </w:rPr>
        <w:t xml:space="preserve"> </w:t>
      </w:r>
      <w:r w:rsidR="00AF1126" w:rsidRPr="00AF1126">
        <w:rPr>
          <w:rFonts w:ascii="Arial" w:hAnsi="Arial" w:cs="Arial"/>
          <w:bCs/>
          <w:sz w:val="21"/>
          <w:szCs w:val="21"/>
        </w:rPr>
        <w:t>ONGENTYS [package insert]</w:t>
      </w:r>
      <w:r w:rsidR="009715E0">
        <w:rPr>
          <w:rFonts w:ascii="Arial" w:hAnsi="Arial" w:cs="Arial"/>
          <w:bCs/>
          <w:sz w:val="21"/>
          <w:szCs w:val="21"/>
        </w:rPr>
        <w:t xml:space="preserve">. </w:t>
      </w:r>
      <w:r w:rsidR="007F215C">
        <w:rPr>
          <w:rFonts w:ascii="Arial" w:hAnsi="Arial" w:cs="Arial"/>
          <w:bCs/>
          <w:sz w:val="21"/>
          <w:szCs w:val="21"/>
        </w:rPr>
        <w:t>Bridgewater, NJ: Amneal Pharmaceuticals LLC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; 2023. </w:t>
      </w:r>
      <w:r w:rsidR="00AB5841" w:rsidRPr="001C3B92">
        <w:rPr>
          <w:rFonts w:ascii="Arial" w:hAnsi="Arial" w:cs="Arial"/>
          <w:b/>
          <w:sz w:val="21"/>
          <w:szCs w:val="21"/>
        </w:rPr>
        <w:t>1</w:t>
      </w:r>
      <w:r w:rsidR="00AB5841">
        <w:rPr>
          <w:rFonts w:ascii="Arial" w:hAnsi="Arial" w:cs="Arial"/>
          <w:b/>
          <w:sz w:val="21"/>
          <w:szCs w:val="21"/>
        </w:rPr>
        <w:t>3</w:t>
      </w:r>
      <w:r w:rsidR="00AB5841" w:rsidRPr="001C3B92">
        <w:rPr>
          <w:rFonts w:ascii="Arial" w:hAnsi="Arial" w:cs="Arial"/>
          <w:b/>
          <w:sz w:val="21"/>
          <w:szCs w:val="21"/>
        </w:rPr>
        <w:t>.</w:t>
      </w:r>
      <w:r w:rsidR="00AB5841">
        <w:rPr>
          <w:rFonts w:ascii="Arial" w:hAnsi="Arial" w:cs="Arial"/>
          <w:bCs/>
          <w:sz w:val="21"/>
          <w:szCs w:val="21"/>
        </w:rPr>
        <w:t xml:space="preserve"> </w:t>
      </w:r>
      <w:r w:rsidR="00AB5841" w:rsidRPr="008244AC">
        <w:rPr>
          <w:rFonts w:ascii="Arial" w:hAnsi="Arial" w:cs="Arial"/>
          <w:bCs/>
          <w:sz w:val="21"/>
          <w:szCs w:val="21"/>
        </w:rPr>
        <w:t xml:space="preserve">Data on file. </w:t>
      </w:r>
      <w:r w:rsidR="007F72AE">
        <w:rPr>
          <w:rFonts w:ascii="Arial" w:hAnsi="Arial" w:cs="Arial"/>
          <w:bCs/>
          <w:sz w:val="21"/>
          <w:szCs w:val="21"/>
        </w:rPr>
        <w:t>Amneal Pharmaceuticals LLC</w:t>
      </w:r>
      <w:r w:rsidR="00AB5841" w:rsidRPr="008244AC">
        <w:rPr>
          <w:rFonts w:ascii="Arial" w:hAnsi="Arial" w:cs="Arial"/>
          <w:bCs/>
          <w:sz w:val="21"/>
          <w:szCs w:val="21"/>
        </w:rPr>
        <w:t>.</w:t>
      </w:r>
      <w:r w:rsidR="00AB5841">
        <w:rPr>
          <w:rFonts w:ascii="Arial" w:hAnsi="Arial" w:cs="Arial"/>
          <w:bCs/>
          <w:sz w:val="21"/>
          <w:szCs w:val="21"/>
        </w:rPr>
        <w:t xml:space="preserve"> </w:t>
      </w:r>
      <w:r w:rsidR="00244719" w:rsidRPr="001C3B92">
        <w:rPr>
          <w:rFonts w:ascii="Arial" w:hAnsi="Arial" w:cs="Arial"/>
          <w:b/>
          <w:sz w:val="21"/>
          <w:szCs w:val="21"/>
        </w:rPr>
        <w:t>1</w:t>
      </w:r>
      <w:r w:rsidR="009A36AD">
        <w:rPr>
          <w:rFonts w:ascii="Arial" w:hAnsi="Arial" w:cs="Arial"/>
          <w:b/>
          <w:sz w:val="21"/>
          <w:szCs w:val="21"/>
        </w:rPr>
        <w:t>4</w:t>
      </w:r>
      <w:r w:rsidR="00244719" w:rsidRPr="001C3B92">
        <w:rPr>
          <w:rFonts w:ascii="Arial" w:hAnsi="Arial" w:cs="Arial"/>
          <w:b/>
          <w:sz w:val="21"/>
          <w:szCs w:val="21"/>
        </w:rPr>
        <w:t>.</w:t>
      </w:r>
      <w:r w:rsidR="00244719">
        <w:rPr>
          <w:rFonts w:ascii="Arial" w:hAnsi="Arial" w:cs="Arial"/>
          <w:bCs/>
          <w:sz w:val="21"/>
          <w:szCs w:val="21"/>
        </w:rPr>
        <w:t xml:space="preserve"> </w:t>
      </w:r>
      <w:r w:rsidR="004B2467" w:rsidRPr="004B2467">
        <w:rPr>
          <w:rFonts w:ascii="Arial" w:hAnsi="Arial" w:cs="Arial"/>
          <w:bCs/>
          <w:sz w:val="21"/>
          <w:szCs w:val="21"/>
        </w:rPr>
        <w:t>Ferreira JJ, Lees A, Rocha JF, et al. Opicapone as an adjunct to levodopa in patients</w:t>
      </w:r>
      <w:r w:rsidR="004B2467">
        <w:rPr>
          <w:rFonts w:ascii="Arial" w:hAnsi="Arial" w:cs="Arial"/>
          <w:bCs/>
          <w:sz w:val="21"/>
          <w:szCs w:val="21"/>
        </w:rPr>
        <w:t xml:space="preserve"> </w:t>
      </w:r>
      <w:r w:rsidR="004B2467" w:rsidRPr="004B2467">
        <w:rPr>
          <w:rFonts w:ascii="Arial" w:hAnsi="Arial" w:cs="Arial"/>
          <w:bCs/>
          <w:sz w:val="21"/>
          <w:szCs w:val="21"/>
        </w:rPr>
        <w:t xml:space="preserve">with Parkinson’s disease and end-of-dose motor fluctuations: a </w:t>
      </w:r>
      <w:proofErr w:type="spellStart"/>
      <w:r w:rsidR="004B2467" w:rsidRPr="004B2467">
        <w:rPr>
          <w:rFonts w:ascii="Arial" w:hAnsi="Arial" w:cs="Arial"/>
          <w:bCs/>
          <w:sz w:val="21"/>
          <w:szCs w:val="21"/>
        </w:rPr>
        <w:t>randomised</w:t>
      </w:r>
      <w:proofErr w:type="spellEnd"/>
      <w:r w:rsidR="004B2467" w:rsidRPr="004B2467">
        <w:rPr>
          <w:rFonts w:ascii="Arial" w:hAnsi="Arial" w:cs="Arial"/>
          <w:bCs/>
          <w:sz w:val="21"/>
          <w:szCs w:val="21"/>
        </w:rPr>
        <w:t xml:space="preserve">, double-blind, controlled trial. </w:t>
      </w:r>
      <w:r w:rsidR="004B2467" w:rsidRPr="004B2467">
        <w:rPr>
          <w:rFonts w:ascii="Arial" w:hAnsi="Arial" w:cs="Arial"/>
          <w:bCs/>
          <w:i/>
          <w:iCs/>
          <w:sz w:val="21"/>
          <w:szCs w:val="21"/>
        </w:rPr>
        <w:t>Lancet Neurol</w:t>
      </w:r>
      <w:r w:rsidR="004B2467" w:rsidRPr="004B2467">
        <w:rPr>
          <w:rFonts w:ascii="Arial" w:hAnsi="Arial" w:cs="Arial"/>
          <w:bCs/>
          <w:sz w:val="21"/>
          <w:szCs w:val="21"/>
        </w:rPr>
        <w:t>.</w:t>
      </w:r>
      <w:r w:rsidR="004B2467">
        <w:rPr>
          <w:rFonts w:ascii="Arial" w:hAnsi="Arial" w:cs="Arial"/>
          <w:bCs/>
          <w:sz w:val="21"/>
          <w:szCs w:val="21"/>
        </w:rPr>
        <w:t xml:space="preserve"> </w:t>
      </w:r>
      <w:r w:rsidR="004B2467" w:rsidRPr="004B2467">
        <w:rPr>
          <w:rFonts w:ascii="Arial" w:hAnsi="Arial" w:cs="Arial"/>
          <w:bCs/>
          <w:sz w:val="21"/>
          <w:szCs w:val="21"/>
        </w:rPr>
        <w:t>Published December 22, 2015.</w:t>
      </w:r>
      <w:r w:rsidR="00AB5841">
        <w:rPr>
          <w:rFonts w:ascii="Arial" w:hAnsi="Arial" w:cs="Arial"/>
          <w:bCs/>
          <w:sz w:val="21"/>
          <w:szCs w:val="21"/>
        </w:rPr>
        <w:t xml:space="preserve"> </w:t>
      </w:r>
      <w:r w:rsidR="004B2467" w:rsidRPr="004B2467">
        <w:rPr>
          <w:rFonts w:ascii="Arial" w:hAnsi="Arial" w:cs="Arial"/>
          <w:bCs/>
          <w:sz w:val="21"/>
          <w:szCs w:val="21"/>
        </w:rPr>
        <w:t>doi:10.1016/S1474-4422(15)00336-1</w:t>
      </w:r>
      <w:r w:rsidR="0057385D">
        <w:rPr>
          <w:rFonts w:ascii="Arial" w:hAnsi="Arial" w:cs="Arial"/>
          <w:bCs/>
          <w:sz w:val="21"/>
          <w:szCs w:val="21"/>
        </w:rPr>
        <w:t xml:space="preserve"> </w:t>
      </w:r>
      <w:r w:rsidR="00AF1126">
        <w:rPr>
          <w:rFonts w:ascii="Arial" w:hAnsi="Arial" w:cs="Arial"/>
          <w:b/>
          <w:sz w:val="21"/>
          <w:szCs w:val="21"/>
        </w:rPr>
        <w:t>1</w:t>
      </w:r>
      <w:r w:rsidR="008244AC">
        <w:rPr>
          <w:rFonts w:ascii="Arial" w:hAnsi="Arial" w:cs="Arial"/>
          <w:b/>
          <w:sz w:val="21"/>
          <w:szCs w:val="21"/>
        </w:rPr>
        <w:t>5</w:t>
      </w:r>
      <w:r w:rsidR="00AF1126" w:rsidRPr="00AF1126">
        <w:rPr>
          <w:rFonts w:ascii="Arial" w:hAnsi="Arial" w:cs="Arial"/>
          <w:b/>
          <w:sz w:val="21"/>
          <w:szCs w:val="21"/>
        </w:rPr>
        <w:t>.</w:t>
      </w:r>
      <w:r w:rsidR="00AF1126" w:rsidRPr="00AF1126">
        <w:rPr>
          <w:rFonts w:ascii="Arial" w:hAnsi="Arial" w:cs="Arial"/>
          <w:bCs/>
          <w:sz w:val="21"/>
          <w:szCs w:val="21"/>
        </w:rPr>
        <w:t xml:space="preserve"> Ferreira JJ, Lees AJ, </w:t>
      </w:r>
      <w:proofErr w:type="spellStart"/>
      <w:r w:rsidR="00AF1126" w:rsidRPr="00AF1126">
        <w:rPr>
          <w:rFonts w:ascii="Arial" w:hAnsi="Arial" w:cs="Arial"/>
          <w:bCs/>
          <w:sz w:val="21"/>
          <w:szCs w:val="21"/>
        </w:rPr>
        <w:t>Poewe</w:t>
      </w:r>
      <w:proofErr w:type="spellEnd"/>
      <w:r w:rsidR="00AF1126" w:rsidRPr="00AF1126">
        <w:rPr>
          <w:rFonts w:ascii="Arial" w:hAnsi="Arial" w:cs="Arial"/>
          <w:bCs/>
          <w:sz w:val="21"/>
          <w:szCs w:val="21"/>
        </w:rPr>
        <w:t xml:space="preserve"> W, et al. Effectiveness of opicapone and switching from entacapone in fluctuating Parkinson disease. </w:t>
      </w:r>
      <w:r w:rsidR="00AF1126" w:rsidRPr="00AF1126">
        <w:rPr>
          <w:rFonts w:ascii="Arial" w:hAnsi="Arial" w:cs="Arial"/>
          <w:bCs/>
          <w:i/>
          <w:iCs/>
          <w:sz w:val="21"/>
          <w:szCs w:val="21"/>
        </w:rPr>
        <w:t>Neurol</w:t>
      </w:r>
      <w:r w:rsidR="00DA052E">
        <w:rPr>
          <w:rFonts w:ascii="Arial" w:hAnsi="Arial" w:cs="Arial"/>
          <w:bCs/>
          <w:i/>
          <w:iCs/>
          <w:sz w:val="21"/>
          <w:szCs w:val="21"/>
        </w:rPr>
        <w:t>ogy</w:t>
      </w:r>
      <w:r w:rsidR="00AF1126" w:rsidRPr="00AF1126">
        <w:rPr>
          <w:rFonts w:ascii="Arial" w:hAnsi="Arial" w:cs="Arial"/>
          <w:bCs/>
          <w:sz w:val="21"/>
          <w:szCs w:val="21"/>
        </w:rPr>
        <w:t>. 2018;90(21</w:t>
      </w:r>
      <w:proofErr w:type="gramStart"/>
      <w:r w:rsidR="00AF1126" w:rsidRPr="00AF1126">
        <w:rPr>
          <w:rFonts w:ascii="Arial" w:hAnsi="Arial" w:cs="Arial"/>
          <w:bCs/>
          <w:sz w:val="21"/>
          <w:szCs w:val="21"/>
        </w:rPr>
        <w:t>):e</w:t>
      </w:r>
      <w:proofErr w:type="gramEnd"/>
      <w:r w:rsidR="00AF1126" w:rsidRPr="00AF1126">
        <w:rPr>
          <w:rFonts w:ascii="Arial" w:hAnsi="Arial" w:cs="Arial"/>
          <w:bCs/>
          <w:sz w:val="21"/>
          <w:szCs w:val="21"/>
        </w:rPr>
        <w:t>1849-e1857.</w:t>
      </w:r>
    </w:p>
    <w:p w14:paraId="63BE529E" w14:textId="223064BA" w:rsidR="0058369A" w:rsidRDefault="0058369A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2CF7A2F4" w14:textId="77777777" w:rsidR="00D14819" w:rsidRDefault="00D14819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17509A6E" w14:textId="77777777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7F001F1E" w14:textId="77777777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74FF96B2" w14:textId="77777777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50A4E532" w14:textId="77777777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618DCB93" w14:textId="77777777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6326FBFE" w14:textId="44CEEF16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7297CF4C" w14:textId="6E53A2BB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0E73EA1C" w14:textId="6B553733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7702A657" w14:textId="40F1E9C9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11B04554" w14:textId="37DE2A8A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38D40E50" w14:textId="29EAD827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403E9D91" w14:textId="498FC101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6644C7ED" w14:textId="05312EBC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37BD96DE" w14:textId="32CE82D7" w:rsidR="00017E95" w:rsidRDefault="00017E95" w:rsidP="00AF1126">
      <w:pPr>
        <w:contextualSpacing/>
        <w:rPr>
          <w:rFonts w:ascii="Arial" w:hAnsi="Arial" w:cs="Arial"/>
          <w:color w:val="00B0F0"/>
          <w:sz w:val="21"/>
          <w:szCs w:val="21"/>
        </w:rPr>
      </w:pPr>
    </w:p>
    <w:p w14:paraId="636C9DFA" w14:textId="77777777" w:rsidR="00FA1AD7" w:rsidRDefault="00FA1AD7" w:rsidP="00A32D64">
      <w:pPr>
        <w:pStyle w:val="Footer"/>
        <w:rPr>
          <w:rFonts w:ascii="Arial" w:hAnsi="Arial" w:cs="Arial"/>
          <w:sz w:val="21"/>
          <w:szCs w:val="21"/>
        </w:rPr>
      </w:pPr>
    </w:p>
    <w:p w14:paraId="507DD85D" w14:textId="768AA905" w:rsidR="00D14819" w:rsidRPr="004D2B00" w:rsidRDefault="00571976" w:rsidP="00A32D64">
      <w:pPr>
        <w:pStyle w:val="Footer"/>
        <w:rPr>
          <w:rFonts w:ascii="Arial" w:hAnsi="Arial" w:cs="Arial"/>
          <w:sz w:val="21"/>
          <w:szCs w:val="21"/>
        </w:rPr>
      </w:pPr>
      <w:r w:rsidRPr="004D2B0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E336ABD" wp14:editId="4AF9DE23">
            <wp:simplePos x="0" y="0"/>
            <wp:positionH relativeFrom="column">
              <wp:posOffset>1158875</wp:posOffset>
            </wp:positionH>
            <wp:positionV relativeFrom="paragraph">
              <wp:posOffset>997585</wp:posOffset>
            </wp:positionV>
            <wp:extent cx="945299" cy="219903"/>
            <wp:effectExtent l="0" t="0" r="7620" b="8890"/>
            <wp:wrapNone/>
            <wp:docPr id="192362098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20983" name="Picture 1" descr="A blue and white logo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5299" cy="219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00" w:rsidRPr="004D2B00">
        <w:rPr>
          <w:rFonts w:ascii="Arial" w:hAnsi="Arial" w:cs="Arial"/>
          <w:sz w:val="21"/>
          <w:szCs w:val="21"/>
        </w:rPr>
        <w:t xml:space="preserve">© 2024 Amneal Specialty, a division of Amneal Pharmaceuticals LLC. All rights reserved. </w:t>
      </w:r>
      <w:r w:rsidR="004D2B00">
        <w:rPr>
          <w:rFonts w:ascii="Arial" w:hAnsi="Arial" w:cs="Arial"/>
          <w:sz w:val="21"/>
          <w:szCs w:val="21"/>
        </w:rPr>
        <w:br/>
      </w:r>
      <w:r w:rsidR="004D2B00" w:rsidRPr="004D2B00">
        <w:rPr>
          <w:rFonts w:ascii="Arial" w:hAnsi="Arial" w:cs="Arial"/>
          <w:sz w:val="21"/>
          <w:szCs w:val="21"/>
        </w:rPr>
        <w:t xml:space="preserve">This letter and the information contained herein are intended for use by U.S. residents only. </w:t>
      </w:r>
      <w:r w:rsidR="004D2B00">
        <w:rPr>
          <w:rFonts w:ascii="Arial" w:hAnsi="Arial" w:cs="Arial"/>
          <w:sz w:val="21"/>
          <w:szCs w:val="21"/>
        </w:rPr>
        <w:br/>
      </w:r>
      <w:r w:rsidR="004D2B00" w:rsidRPr="004D2B00">
        <w:rPr>
          <w:rFonts w:ascii="Arial" w:hAnsi="Arial" w:cs="Arial"/>
          <w:sz w:val="21"/>
          <w:szCs w:val="21"/>
        </w:rPr>
        <w:t>Amneal Pharmaceuticals</w:t>
      </w:r>
      <w:r w:rsidR="00DE0705">
        <w:rPr>
          <w:rFonts w:ascii="Arial" w:hAnsi="Arial" w:cs="Arial"/>
          <w:sz w:val="21"/>
          <w:szCs w:val="21"/>
        </w:rPr>
        <w:t xml:space="preserve">’ </w:t>
      </w:r>
      <w:r w:rsidR="004D2B00" w:rsidRPr="004D2B00">
        <w:rPr>
          <w:rFonts w:ascii="Arial" w:hAnsi="Arial" w:cs="Arial"/>
          <w:sz w:val="21"/>
          <w:szCs w:val="21"/>
        </w:rPr>
        <w:t xml:space="preserve">rights to promote, offer for sale, and sell ONGENTYS are limited </w:t>
      </w:r>
      <w:r w:rsidR="00FA1AD7">
        <w:rPr>
          <w:rFonts w:ascii="Arial" w:hAnsi="Arial" w:cs="Arial"/>
          <w:sz w:val="21"/>
          <w:szCs w:val="21"/>
        </w:rPr>
        <w:br/>
      </w:r>
      <w:r w:rsidR="004D2B00" w:rsidRPr="004D2B00">
        <w:rPr>
          <w:rFonts w:ascii="Arial" w:hAnsi="Arial" w:cs="Arial"/>
          <w:sz w:val="21"/>
          <w:szCs w:val="21"/>
        </w:rPr>
        <w:t xml:space="preserve">to the U.S. </w:t>
      </w:r>
      <w:r w:rsidR="006F561E">
        <w:rPr>
          <w:rFonts w:ascii="Arial" w:hAnsi="Arial" w:cs="Arial"/>
          <w:sz w:val="21"/>
          <w:szCs w:val="21"/>
        </w:rPr>
        <w:br/>
      </w:r>
      <w:r w:rsidR="004D2B00" w:rsidRPr="004D2B00">
        <w:rPr>
          <w:rFonts w:ascii="Arial" w:hAnsi="Arial" w:cs="Arial"/>
          <w:sz w:val="21"/>
          <w:szCs w:val="21"/>
        </w:rPr>
        <w:t>ONGENTYS</w:t>
      </w:r>
      <w:r w:rsidR="004D2B00" w:rsidRPr="007B49EB">
        <w:rPr>
          <w:rFonts w:ascii="Arial" w:hAnsi="Arial" w:cs="Arial"/>
          <w:sz w:val="21"/>
          <w:szCs w:val="21"/>
          <w:vertAlign w:val="superscript"/>
        </w:rPr>
        <w:t>®</w:t>
      </w:r>
      <w:r w:rsidR="004D2B00" w:rsidRPr="004D2B00">
        <w:rPr>
          <w:rFonts w:ascii="Arial" w:hAnsi="Arial" w:cs="Arial"/>
          <w:sz w:val="21"/>
          <w:szCs w:val="21"/>
        </w:rPr>
        <w:t xml:space="preserve"> is a registered trademark of BIAL - Portela &amp; Cª., S.A. </w:t>
      </w:r>
      <w:r w:rsidR="004D2B00">
        <w:rPr>
          <w:rFonts w:ascii="Arial" w:hAnsi="Arial" w:cs="Arial"/>
          <w:sz w:val="21"/>
          <w:szCs w:val="21"/>
        </w:rPr>
        <w:br/>
      </w:r>
      <w:r w:rsidR="004D2B00" w:rsidRPr="004D2B00">
        <w:rPr>
          <w:rFonts w:ascii="Arial" w:hAnsi="Arial" w:cs="Arial"/>
          <w:sz w:val="21"/>
          <w:szCs w:val="21"/>
        </w:rPr>
        <w:t xml:space="preserve">PP-ADW-ONG-US-0007 02/2024 </w:t>
      </w:r>
      <w:r w:rsidR="002E2CBF">
        <w:rPr>
          <w:rFonts w:ascii="Arial" w:hAnsi="Arial" w:cs="Arial"/>
          <w:sz w:val="21"/>
          <w:szCs w:val="21"/>
        </w:rPr>
        <w:br/>
      </w:r>
      <w:r w:rsidR="002E2CBF">
        <w:rPr>
          <w:rFonts w:ascii="Arial" w:hAnsi="Arial" w:cs="Arial"/>
          <w:sz w:val="21"/>
          <w:szCs w:val="21"/>
        </w:rPr>
        <w:br/>
      </w:r>
      <w:r w:rsidR="004D2B00" w:rsidRPr="004D2B00">
        <w:rPr>
          <w:rFonts w:ascii="Arial" w:hAnsi="Arial" w:cs="Arial"/>
          <w:sz w:val="21"/>
          <w:szCs w:val="21"/>
        </w:rPr>
        <w:t>Under license from</w:t>
      </w:r>
    </w:p>
    <w:sectPr w:rsidR="00D14819" w:rsidRPr="004D2B00" w:rsidSect="000C1A8A">
      <w:pgSz w:w="12240" w:h="15840"/>
      <w:pgMar w:top="1440" w:right="1440" w:bottom="1440" w:left="1440" w:header="144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776B" w14:textId="77777777" w:rsidR="000C1A8A" w:rsidRDefault="000C1A8A" w:rsidP="00360F91">
      <w:r>
        <w:separator/>
      </w:r>
    </w:p>
  </w:endnote>
  <w:endnote w:type="continuationSeparator" w:id="0">
    <w:p w14:paraId="70EC5C81" w14:textId="77777777" w:rsidR="000C1A8A" w:rsidRDefault="000C1A8A" w:rsidP="00360F91">
      <w:r>
        <w:continuationSeparator/>
      </w:r>
    </w:p>
  </w:endnote>
  <w:endnote w:type="continuationNotice" w:id="1">
    <w:p w14:paraId="0BB96B4B" w14:textId="77777777" w:rsidR="000C1A8A" w:rsidRDefault="000C1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7E5D" w14:textId="77777777" w:rsidR="000C1A8A" w:rsidRDefault="000C1A8A" w:rsidP="00360F91">
      <w:r>
        <w:separator/>
      </w:r>
    </w:p>
  </w:footnote>
  <w:footnote w:type="continuationSeparator" w:id="0">
    <w:p w14:paraId="5F379452" w14:textId="77777777" w:rsidR="000C1A8A" w:rsidRDefault="000C1A8A" w:rsidP="00360F91">
      <w:r>
        <w:continuationSeparator/>
      </w:r>
    </w:p>
  </w:footnote>
  <w:footnote w:type="continuationNotice" w:id="1">
    <w:p w14:paraId="67066A26" w14:textId="77777777" w:rsidR="000C1A8A" w:rsidRDefault="000C1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243D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623B2"/>
    <w:multiLevelType w:val="hybridMultilevel"/>
    <w:tmpl w:val="49C6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743"/>
    <w:multiLevelType w:val="multilevel"/>
    <w:tmpl w:val="B4CEE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C97"/>
    <w:multiLevelType w:val="hybridMultilevel"/>
    <w:tmpl w:val="256A9D10"/>
    <w:lvl w:ilvl="0" w:tplc="FBFC9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98B"/>
    <w:multiLevelType w:val="hybridMultilevel"/>
    <w:tmpl w:val="34C833CC"/>
    <w:lvl w:ilvl="0" w:tplc="021C354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7584"/>
    <w:multiLevelType w:val="hybridMultilevel"/>
    <w:tmpl w:val="93F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7D11"/>
    <w:multiLevelType w:val="hybridMultilevel"/>
    <w:tmpl w:val="75E8D238"/>
    <w:lvl w:ilvl="0" w:tplc="DABC1E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DA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463B8"/>
    <w:multiLevelType w:val="hybridMultilevel"/>
    <w:tmpl w:val="B4CE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F05AD"/>
    <w:multiLevelType w:val="hybridMultilevel"/>
    <w:tmpl w:val="D41264B2"/>
    <w:lvl w:ilvl="0" w:tplc="6E64716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87944"/>
    <w:multiLevelType w:val="multilevel"/>
    <w:tmpl w:val="B4CEE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414E7"/>
    <w:multiLevelType w:val="hybridMultilevel"/>
    <w:tmpl w:val="43A0E214"/>
    <w:lvl w:ilvl="0" w:tplc="19461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C4CF8"/>
    <w:multiLevelType w:val="hybridMultilevel"/>
    <w:tmpl w:val="39EEB954"/>
    <w:lvl w:ilvl="0" w:tplc="3986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00AD1"/>
    <w:multiLevelType w:val="hybridMultilevel"/>
    <w:tmpl w:val="6196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35A01"/>
    <w:multiLevelType w:val="hybridMultilevel"/>
    <w:tmpl w:val="3BF6B164"/>
    <w:lvl w:ilvl="0" w:tplc="DABC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727BA"/>
    <w:multiLevelType w:val="hybridMultilevel"/>
    <w:tmpl w:val="5F3629B2"/>
    <w:lvl w:ilvl="0" w:tplc="F6E09DB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46189"/>
    <w:multiLevelType w:val="hybridMultilevel"/>
    <w:tmpl w:val="27DCA268"/>
    <w:lvl w:ilvl="0" w:tplc="3A74C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A1881"/>
    <w:multiLevelType w:val="hybridMultilevel"/>
    <w:tmpl w:val="4DB21522"/>
    <w:lvl w:ilvl="0" w:tplc="566E1ABE">
      <w:numFmt w:val="bullet"/>
      <w:lvlText w:val="•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65A5CC8"/>
    <w:multiLevelType w:val="hybridMultilevel"/>
    <w:tmpl w:val="5128FFAE"/>
    <w:lvl w:ilvl="0" w:tplc="E162F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39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D458D"/>
    <w:multiLevelType w:val="hybridMultilevel"/>
    <w:tmpl w:val="6C0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2649A"/>
    <w:multiLevelType w:val="hybridMultilevel"/>
    <w:tmpl w:val="8C8410F6"/>
    <w:lvl w:ilvl="0" w:tplc="58A63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66D15"/>
    <w:multiLevelType w:val="hybridMultilevel"/>
    <w:tmpl w:val="2A324C4A"/>
    <w:lvl w:ilvl="0" w:tplc="952E8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641A5"/>
    <w:multiLevelType w:val="hybridMultilevel"/>
    <w:tmpl w:val="30FC96A2"/>
    <w:lvl w:ilvl="0" w:tplc="C2E42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5005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05235"/>
    <w:multiLevelType w:val="multilevel"/>
    <w:tmpl w:val="B4CEE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34866">
    <w:abstractNumId w:val="7"/>
  </w:num>
  <w:num w:numId="2" w16cid:durableId="411699542">
    <w:abstractNumId w:val="14"/>
  </w:num>
  <w:num w:numId="3" w16cid:durableId="1867712014">
    <w:abstractNumId w:val="2"/>
  </w:num>
  <w:num w:numId="4" w16cid:durableId="84419530">
    <w:abstractNumId w:val="9"/>
  </w:num>
  <w:num w:numId="5" w16cid:durableId="1948459350">
    <w:abstractNumId w:val="20"/>
  </w:num>
  <w:num w:numId="6" w16cid:durableId="845024197">
    <w:abstractNumId w:val="22"/>
  </w:num>
  <w:num w:numId="7" w16cid:durableId="1934506281">
    <w:abstractNumId w:val="3"/>
  </w:num>
  <w:num w:numId="8" w16cid:durableId="220529394">
    <w:abstractNumId w:val="0"/>
  </w:num>
  <w:num w:numId="9" w16cid:durableId="1412309555">
    <w:abstractNumId w:val="21"/>
  </w:num>
  <w:num w:numId="10" w16cid:durableId="374738013">
    <w:abstractNumId w:val="16"/>
  </w:num>
  <w:num w:numId="11" w16cid:durableId="240650152">
    <w:abstractNumId w:val="13"/>
  </w:num>
  <w:num w:numId="12" w16cid:durableId="879123118">
    <w:abstractNumId w:val="6"/>
  </w:num>
  <w:num w:numId="13" w16cid:durableId="1004429876">
    <w:abstractNumId w:val="1"/>
  </w:num>
  <w:num w:numId="14" w16cid:durableId="608124052">
    <w:abstractNumId w:val="8"/>
  </w:num>
  <w:num w:numId="15" w16cid:durableId="573588096">
    <w:abstractNumId w:val="12"/>
  </w:num>
  <w:num w:numId="16" w16cid:durableId="1715157543">
    <w:abstractNumId w:val="4"/>
  </w:num>
  <w:num w:numId="17" w16cid:durableId="1872497788">
    <w:abstractNumId w:val="17"/>
  </w:num>
  <w:num w:numId="18" w16cid:durableId="1387097371">
    <w:abstractNumId w:val="11"/>
  </w:num>
  <w:num w:numId="19" w16cid:durableId="284429591">
    <w:abstractNumId w:val="10"/>
  </w:num>
  <w:num w:numId="20" w16cid:durableId="1676877458">
    <w:abstractNumId w:val="19"/>
  </w:num>
  <w:num w:numId="21" w16cid:durableId="1026911639">
    <w:abstractNumId w:val="15"/>
  </w:num>
  <w:num w:numId="22" w16cid:durableId="1371497278">
    <w:abstractNumId w:val="18"/>
  </w:num>
  <w:num w:numId="23" w16cid:durableId="2011640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EA"/>
    <w:rsid w:val="000012BF"/>
    <w:rsid w:val="00006485"/>
    <w:rsid w:val="00011A04"/>
    <w:rsid w:val="00017E95"/>
    <w:rsid w:val="00023F17"/>
    <w:rsid w:val="00025C68"/>
    <w:rsid w:val="00026830"/>
    <w:rsid w:val="000334B4"/>
    <w:rsid w:val="00045F3A"/>
    <w:rsid w:val="000514E6"/>
    <w:rsid w:val="00063FF9"/>
    <w:rsid w:val="00066322"/>
    <w:rsid w:val="000674F3"/>
    <w:rsid w:val="00067BD1"/>
    <w:rsid w:val="00072BFB"/>
    <w:rsid w:val="00074135"/>
    <w:rsid w:val="00075793"/>
    <w:rsid w:val="00077E8E"/>
    <w:rsid w:val="00080194"/>
    <w:rsid w:val="00091309"/>
    <w:rsid w:val="0009398D"/>
    <w:rsid w:val="000A0064"/>
    <w:rsid w:val="000B1E30"/>
    <w:rsid w:val="000B5843"/>
    <w:rsid w:val="000B7724"/>
    <w:rsid w:val="000C1A8A"/>
    <w:rsid w:val="000C1B44"/>
    <w:rsid w:val="000C290E"/>
    <w:rsid w:val="000C38C9"/>
    <w:rsid w:val="000C60CA"/>
    <w:rsid w:val="000E0960"/>
    <w:rsid w:val="000E111B"/>
    <w:rsid w:val="000E3F43"/>
    <w:rsid w:val="000E64DB"/>
    <w:rsid w:val="000F1C4D"/>
    <w:rsid w:val="000F3F96"/>
    <w:rsid w:val="001045C2"/>
    <w:rsid w:val="00106849"/>
    <w:rsid w:val="00122613"/>
    <w:rsid w:val="001235AC"/>
    <w:rsid w:val="0012481E"/>
    <w:rsid w:val="0012690A"/>
    <w:rsid w:val="0014114C"/>
    <w:rsid w:val="00141ECE"/>
    <w:rsid w:val="00142C2A"/>
    <w:rsid w:val="001444F3"/>
    <w:rsid w:val="00145486"/>
    <w:rsid w:val="00146208"/>
    <w:rsid w:val="00162203"/>
    <w:rsid w:val="00165203"/>
    <w:rsid w:val="00176625"/>
    <w:rsid w:val="0018153A"/>
    <w:rsid w:val="00183F31"/>
    <w:rsid w:val="00184CE1"/>
    <w:rsid w:val="00187678"/>
    <w:rsid w:val="0019071C"/>
    <w:rsid w:val="001919C6"/>
    <w:rsid w:val="00192572"/>
    <w:rsid w:val="00195A6A"/>
    <w:rsid w:val="00196A56"/>
    <w:rsid w:val="001971FE"/>
    <w:rsid w:val="001A76BB"/>
    <w:rsid w:val="001B650B"/>
    <w:rsid w:val="001B70BC"/>
    <w:rsid w:val="001C2872"/>
    <w:rsid w:val="001C3B92"/>
    <w:rsid w:val="001C4948"/>
    <w:rsid w:val="001D2A50"/>
    <w:rsid w:val="001E0599"/>
    <w:rsid w:val="001E0F04"/>
    <w:rsid w:val="001E2749"/>
    <w:rsid w:val="001E464B"/>
    <w:rsid w:val="001F39C9"/>
    <w:rsid w:val="00202497"/>
    <w:rsid w:val="0021394B"/>
    <w:rsid w:val="00214B49"/>
    <w:rsid w:val="002176EA"/>
    <w:rsid w:val="00220D65"/>
    <w:rsid w:val="00225321"/>
    <w:rsid w:val="00231DF9"/>
    <w:rsid w:val="00244719"/>
    <w:rsid w:val="00245FF5"/>
    <w:rsid w:val="0024694B"/>
    <w:rsid w:val="00247F2D"/>
    <w:rsid w:val="00250D09"/>
    <w:rsid w:val="00255686"/>
    <w:rsid w:val="0026165B"/>
    <w:rsid w:val="00274A79"/>
    <w:rsid w:val="002750B6"/>
    <w:rsid w:val="0027640C"/>
    <w:rsid w:val="002801A6"/>
    <w:rsid w:val="0028123B"/>
    <w:rsid w:val="0028178B"/>
    <w:rsid w:val="00284A22"/>
    <w:rsid w:val="002926ED"/>
    <w:rsid w:val="002A7AF6"/>
    <w:rsid w:val="002B45DF"/>
    <w:rsid w:val="002B4F20"/>
    <w:rsid w:val="002B5D68"/>
    <w:rsid w:val="002C0A24"/>
    <w:rsid w:val="002D2113"/>
    <w:rsid w:val="002D2CCA"/>
    <w:rsid w:val="002D66AF"/>
    <w:rsid w:val="002E10FB"/>
    <w:rsid w:val="002E2CBF"/>
    <w:rsid w:val="002E54D3"/>
    <w:rsid w:val="002E751F"/>
    <w:rsid w:val="00304B86"/>
    <w:rsid w:val="0030539C"/>
    <w:rsid w:val="003063F7"/>
    <w:rsid w:val="0031310A"/>
    <w:rsid w:val="003174CE"/>
    <w:rsid w:val="00321523"/>
    <w:rsid w:val="00326F56"/>
    <w:rsid w:val="0033373C"/>
    <w:rsid w:val="00335D0B"/>
    <w:rsid w:val="00344533"/>
    <w:rsid w:val="00357F7A"/>
    <w:rsid w:val="00360DC4"/>
    <w:rsid w:val="00360F91"/>
    <w:rsid w:val="00362FC5"/>
    <w:rsid w:val="00381742"/>
    <w:rsid w:val="00392E06"/>
    <w:rsid w:val="003B1D3B"/>
    <w:rsid w:val="003B24A8"/>
    <w:rsid w:val="003B254E"/>
    <w:rsid w:val="003B6137"/>
    <w:rsid w:val="003C154B"/>
    <w:rsid w:val="003C3E7C"/>
    <w:rsid w:val="003D045E"/>
    <w:rsid w:val="003D12CD"/>
    <w:rsid w:val="003D19D9"/>
    <w:rsid w:val="003D6118"/>
    <w:rsid w:val="003D752E"/>
    <w:rsid w:val="003D7B73"/>
    <w:rsid w:val="003E4F3D"/>
    <w:rsid w:val="003F0852"/>
    <w:rsid w:val="003F1E92"/>
    <w:rsid w:val="003F35C1"/>
    <w:rsid w:val="003F3A37"/>
    <w:rsid w:val="003F3CEB"/>
    <w:rsid w:val="003F62BB"/>
    <w:rsid w:val="003F7129"/>
    <w:rsid w:val="003F7596"/>
    <w:rsid w:val="004007BC"/>
    <w:rsid w:val="00402D62"/>
    <w:rsid w:val="004045C1"/>
    <w:rsid w:val="00405D3D"/>
    <w:rsid w:val="004125D6"/>
    <w:rsid w:val="0041469D"/>
    <w:rsid w:val="004158A7"/>
    <w:rsid w:val="00420E62"/>
    <w:rsid w:val="00426BDA"/>
    <w:rsid w:val="004311FF"/>
    <w:rsid w:val="004341B4"/>
    <w:rsid w:val="004424A5"/>
    <w:rsid w:val="004466B7"/>
    <w:rsid w:val="00446EA5"/>
    <w:rsid w:val="00446F93"/>
    <w:rsid w:val="00464A3E"/>
    <w:rsid w:val="004652AC"/>
    <w:rsid w:val="00466686"/>
    <w:rsid w:val="00475F25"/>
    <w:rsid w:val="00477295"/>
    <w:rsid w:val="00477936"/>
    <w:rsid w:val="00482F94"/>
    <w:rsid w:val="00485664"/>
    <w:rsid w:val="0049093F"/>
    <w:rsid w:val="00497FE9"/>
    <w:rsid w:val="004A00D3"/>
    <w:rsid w:val="004B2467"/>
    <w:rsid w:val="004B3AF6"/>
    <w:rsid w:val="004B697E"/>
    <w:rsid w:val="004C0B56"/>
    <w:rsid w:val="004C6325"/>
    <w:rsid w:val="004D1AC6"/>
    <w:rsid w:val="004D2B00"/>
    <w:rsid w:val="004D55A2"/>
    <w:rsid w:val="004D7BC8"/>
    <w:rsid w:val="004D7D69"/>
    <w:rsid w:val="004E0497"/>
    <w:rsid w:val="004E43DA"/>
    <w:rsid w:val="004E562C"/>
    <w:rsid w:val="004E68AE"/>
    <w:rsid w:val="004F0D3C"/>
    <w:rsid w:val="004F4893"/>
    <w:rsid w:val="00500FAC"/>
    <w:rsid w:val="00512845"/>
    <w:rsid w:val="00513C05"/>
    <w:rsid w:val="0051540C"/>
    <w:rsid w:val="0052291B"/>
    <w:rsid w:val="00525FB6"/>
    <w:rsid w:val="00527661"/>
    <w:rsid w:val="005418D9"/>
    <w:rsid w:val="00545526"/>
    <w:rsid w:val="005517A1"/>
    <w:rsid w:val="00552C4D"/>
    <w:rsid w:val="005554C3"/>
    <w:rsid w:val="00561297"/>
    <w:rsid w:val="005619A0"/>
    <w:rsid w:val="005629ED"/>
    <w:rsid w:val="0056397B"/>
    <w:rsid w:val="00570880"/>
    <w:rsid w:val="005714A5"/>
    <w:rsid w:val="00571976"/>
    <w:rsid w:val="00571CB2"/>
    <w:rsid w:val="0057385D"/>
    <w:rsid w:val="00582581"/>
    <w:rsid w:val="0058369A"/>
    <w:rsid w:val="00584905"/>
    <w:rsid w:val="00586915"/>
    <w:rsid w:val="005924B4"/>
    <w:rsid w:val="005A4FFE"/>
    <w:rsid w:val="005A6DB0"/>
    <w:rsid w:val="005B2E59"/>
    <w:rsid w:val="005C1258"/>
    <w:rsid w:val="005C62C3"/>
    <w:rsid w:val="005D1043"/>
    <w:rsid w:val="005D2B40"/>
    <w:rsid w:val="005D4711"/>
    <w:rsid w:val="005D6273"/>
    <w:rsid w:val="005E0347"/>
    <w:rsid w:val="005E045C"/>
    <w:rsid w:val="005E5DB7"/>
    <w:rsid w:val="005F08CD"/>
    <w:rsid w:val="005F343C"/>
    <w:rsid w:val="005F70A2"/>
    <w:rsid w:val="00604066"/>
    <w:rsid w:val="0061535E"/>
    <w:rsid w:val="00616B96"/>
    <w:rsid w:val="00617988"/>
    <w:rsid w:val="00630840"/>
    <w:rsid w:val="00630A4B"/>
    <w:rsid w:val="00635909"/>
    <w:rsid w:val="00637E79"/>
    <w:rsid w:val="00644D53"/>
    <w:rsid w:val="006476C7"/>
    <w:rsid w:val="006500D2"/>
    <w:rsid w:val="00655EB0"/>
    <w:rsid w:val="006704D4"/>
    <w:rsid w:val="00685137"/>
    <w:rsid w:val="00685A88"/>
    <w:rsid w:val="00690035"/>
    <w:rsid w:val="006A23BE"/>
    <w:rsid w:val="006A6A51"/>
    <w:rsid w:val="006A7981"/>
    <w:rsid w:val="006B4370"/>
    <w:rsid w:val="006B587E"/>
    <w:rsid w:val="006B622A"/>
    <w:rsid w:val="006B6593"/>
    <w:rsid w:val="006C01DE"/>
    <w:rsid w:val="006C3C5F"/>
    <w:rsid w:val="006C5363"/>
    <w:rsid w:val="006D0781"/>
    <w:rsid w:val="006D11AF"/>
    <w:rsid w:val="006D5BD8"/>
    <w:rsid w:val="006E29B3"/>
    <w:rsid w:val="006E36E3"/>
    <w:rsid w:val="006E6D53"/>
    <w:rsid w:val="006F3E0B"/>
    <w:rsid w:val="006F561E"/>
    <w:rsid w:val="006F5D4F"/>
    <w:rsid w:val="006F6F3A"/>
    <w:rsid w:val="00703568"/>
    <w:rsid w:val="007045E6"/>
    <w:rsid w:val="00715F00"/>
    <w:rsid w:val="0072105F"/>
    <w:rsid w:val="00725789"/>
    <w:rsid w:val="007321AC"/>
    <w:rsid w:val="00735E45"/>
    <w:rsid w:val="0073604E"/>
    <w:rsid w:val="00750AF0"/>
    <w:rsid w:val="007510CE"/>
    <w:rsid w:val="00751A98"/>
    <w:rsid w:val="00753E7E"/>
    <w:rsid w:val="0075474E"/>
    <w:rsid w:val="007641A6"/>
    <w:rsid w:val="007801C9"/>
    <w:rsid w:val="0079371D"/>
    <w:rsid w:val="00795139"/>
    <w:rsid w:val="007A2870"/>
    <w:rsid w:val="007A2F3D"/>
    <w:rsid w:val="007A6D9F"/>
    <w:rsid w:val="007B48EE"/>
    <w:rsid w:val="007B49EB"/>
    <w:rsid w:val="007B7DAC"/>
    <w:rsid w:val="007C70E0"/>
    <w:rsid w:val="007D0615"/>
    <w:rsid w:val="007D0A08"/>
    <w:rsid w:val="007D28D5"/>
    <w:rsid w:val="007D41C8"/>
    <w:rsid w:val="007D6A0D"/>
    <w:rsid w:val="007E5D75"/>
    <w:rsid w:val="007F04EB"/>
    <w:rsid w:val="007F215C"/>
    <w:rsid w:val="007F72AE"/>
    <w:rsid w:val="00804F73"/>
    <w:rsid w:val="0081649E"/>
    <w:rsid w:val="008175B1"/>
    <w:rsid w:val="008244AC"/>
    <w:rsid w:val="008250E9"/>
    <w:rsid w:val="00835BFF"/>
    <w:rsid w:val="008449A2"/>
    <w:rsid w:val="00847709"/>
    <w:rsid w:val="00854E37"/>
    <w:rsid w:val="00855390"/>
    <w:rsid w:val="00855C0C"/>
    <w:rsid w:val="00863525"/>
    <w:rsid w:val="008729AF"/>
    <w:rsid w:val="008800AD"/>
    <w:rsid w:val="00885491"/>
    <w:rsid w:val="00885D1B"/>
    <w:rsid w:val="0088753C"/>
    <w:rsid w:val="008A2D9F"/>
    <w:rsid w:val="008A39AE"/>
    <w:rsid w:val="008A5E59"/>
    <w:rsid w:val="008B150E"/>
    <w:rsid w:val="008C05BB"/>
    <w:rsid w:val="008C73A0"/>
    <w:rsid w:val="008D4A84"/>
    <w:rsid w:val="008E277B"/>
    <w:rsid w:val="008E6CF0"/>
    <w:rsid w:val="008E7FDC"/>
    <w:rsid w:val="008F0DD5"/>
    <w:rsid w:val="008F7F50"/>
    <w:rsid w:val="00901F2A"/>
    <w:rsid w:val="00902FE6"/>
    <w:rsid w:val="0091152E"/>
    <w:rsid w:val="00912F42"/>
    <w:rsid w:val="00913BF9"/>
    <w:rsid w:val="009171D0"/>
    <w:rsid w:val="009176EC"/>
    <w:rsid w:val="00921CD3"/>
    <w:rsid w:val="00925C3D"/>
    <w:rsid w:val="00930670"/>
    <w:rsid w:val="00940C1A"/>
    <w:rsid w:val="00940CA2"/>
    <w:rsid w:val="00942676"/>
    <w:rsid w:val="0095553E"/>
    <w:rsid w:val="0096025B"/>
    <w:rsid w:val="009715E0"/>
    <w:rsid w:val="00972F44"/>
    <w:rsid w:val="00974CF5"/>
    <w:rsid w:val="0097608E"/>
    <w:rsid w:val="00982C3E"/>
    <w:rsid w:val="009844FD"/>
    <w:rsid w:val="00986E0C"/>
    <w:rsid w:val="00995FFC"/>
    <w:rsid w:val="009A36AD"/>
    <w:rsid w:val="009B3145"/>
    <w:rsid w:val="009B6105"/>
    <w:rsid w:val="009C07DE"/>
    <w:rsid w:val="009C4696"/>
    <w:rsid w:val="009D14A0"/>
    <w:rsid w:val="009D1A2B"/>
    <w:rsid w:val="009D4D09"/>
    <w:rsid w:val="009D7616"/>
    <w:rsid w:val="009E44B2"/>
    <w:rsid w:val="009E6A36"/>
    <w:rsid w:val="009F762F"/>
    <w:rsid w:val="00A0230E"/>
    <w:rsid w:val="00A02562"/>
    <w:rsid w:val="00A1476C"/>
    <w:rsid w:val="00A32D64"/>
    <w:rsid w:val="00A41026"/>
    <w:rsid w:val="00A4524D"/>
    <w:rsid w:val="00A46C6D"/>
    <w:rsid w:val="00A504A2"/>
    <w:rsid w:val="00A506CA"/>
    <w:rsid w:val="00A52C6B"/>
    <w:rsid w:val="00A54624"/>
    <w:rsid w:val="00A56117"/>
    <w:rsid w:val="00A56C9D"/>
    <w:rsid w:val="00A61617"/>
    <w:rsid w:val="00A626D7"/>
    <w:rsid w:val="00A6495D"/>
    <w:rsid w:val="00A81E15"/>
    <w:rsid w:val="00A83DE2"/>
    <w:rsid w:val="00A83EDA"/>
    <w:rsid w:val="00A92F4F"/>
    <w:rsid w:val="00A96E75"/>
    <w:rsid w:val="00A97966"/>
    <w:rsid w:val="00AA0A8A"/>
    <w:rsid w:val="00AA0FD1"/>
    <w:rsid w:val="00AA28E3"/>
    <w:rsid w:val="00AA5637"/>
    <w:rsid w:val="00AA61A7"/>
    <w:rsid w:val="00AA66E1"/>
    <w:rsid w:val="00AB5841"/>
    <w:rsid w:val="00AB6352"/>
    <w:rsid w:val="00AD3CB5"/>
    <w:rsid w:val="00AD7E6B"/>
    <w:rsid w:val="00AE0601"/>
    <w:rsid w:val="00AE7EB5"/>
    <w:rsid w:val="00AF1126"/>
    <w:rsid w:val="00AF19A0"/>
    <w:rsid w:val="00AF531A"/>
    <w:rsid w:val="00AF5AF3"/>
    <w:rsid w:val="00B00DB9"/>
    <w:rsid w:val="00B024D0"/>
    <w:rsid w:val="00B0303F"/>
    <w:rsid w:val="00B0449F"/>
    <w:rsid w:val="00B102B1"/>
    <w:rsid w:val="00B1463D"/>
    <w:rsid w:val="00B17D7B"/>
    <w:rsid w:val="00B22D1D"/>
    <w:rsid w:val="00B23AD5"/>
    <w:rsid w:val="00B26837"/>
    <w:rsid w:val="00B27D06"/>
    <w:rsid w:val="00B363A8"/>
    <w:rsid w:val="00B372C0"/>
    <w:rsid w:val="00B40710"/>
    <w:rsid w:val="00B551E6"/>
    <w:rsid w:val="00B554C7"/>
    <w:rsid w:val="00B6020B"/>
    <w:rsid w:val="00B626AC"/>
    <w:rsid w:val="00B70DE8"/>
    <w:rsid w:val="00B7333E"/>
    <w:rsid w:val="00B778DB"/>
    <w:rsid w:val="00B81902"/>
    <w:rsid w:val="00B81CE4"/>
    <w:rsid w:val="00B82C72"/>
    <w:rsid w:val="00B8315E"/>
    <w:rsid w:val="00B87862"/>
    <w:rsid w:val="00B914FC"/>
    <w:rsid w:val="00BA23FA"/>
    <w:rsid w:val="00BA3732"/>
    <w:rsid w:val="00BA4F38"/>
    <w:rsid w:val="00BA5E1B"/>
    <w:rsid w:val="00BB4360"/>
    <w:rsid w:val="00BB6424"/>
    <w:rsid w:val="00BC0011"/>
    <w:rsid w:val="00BC15CE"/>
    <w:rsid w:val="00BC2F21"/>
    <w:rsid w:val="00BD0F01"/>
    <w:rsid w:val="00BD18B5"/>
    <w:rsid w:val="00BE3303"/>
    <w:rsid w:val="00BE50A3"/>
    <w:rsid w:val="00BF1519"/>
    <w:rsid w:val="00BF226B"/>
    <w:rsid w:val="00BF377B"/>
    <w:rsid w:val="00C00589"/>
    <w:rsid w:val="00C00C6C"/>
    <w:rsid w:val="00C01DF6"/>
    <w:rsid w:val="00C02F14"/>
    <w:rsid w:val="00C04EF3"/>
    <w:rsid w:val="00C15044"/>
    <w:rsid w:val="00C17EC8"/>
    <w:rsid w:val="00C31229"/>
    <w:rsid w:val="00C318DE"/>
    <w:rsid w:val="00C36870"/>
    <w:rsid w:val="00C4053B"/>
    <w:rsid w:val="00C41F4E"/>
    <w:rsid w:val="00C47334"/>
    <w:rsid w:val="00C54FE6"/>
    <w:rsid w:val="00C561A7"/>
    <w:rsid w:val="00C6105C"/>
    <w:rsid w:val="00C63B16"/>
    <w:rsid w:val="00C6418C"/>
    <w:rsid w:val="00C6585F"/>
    <w:rsid w:val="00C66126"/>
    <w:rsid w:val="00C7065E"/>
    <w:rsid w:val="00C7245C"/>
    <w:rsid w:val="00C76C89"/>
    <w:rsid w:val="00C7761C"/>
    <w:rsid w:val="00C8004B"/>
    <w:rsid w:val="00C935F3"/>
    <w:rsid w:val="00C93DE4"/>
    <w:rsid w:val="00CA34AC"/>
    <w:rsid w:val="00CA5493"/>
    <w:rsid w:val="00CA5E2A"/>
    <w:rsid w:val="00CA6B7A"/>
    <w:rsid w:val="00CA7A44"/>
    <w:rsid w:val="00CB5EFD"/>
    <w:rsid w:val="00CC1DAE"/>
    <w:rsid w:val="00CC4295"/>
    <w:rsid w:val="00CC5539"/>
    <w:rsid w:val="00CD03FA"/>
    <w:rsid w:val="00CD1EA3"/>
    <w:rsid w:val="00CD20F2"/>
    <w:rsid w:val="00CD769D"/>
    <w:rsid w:val="00CE0565"/>
    <w:rsid w:val="00CE42DA"/>
    <w:rsid w:val="00CF1D28"/>
    <w:rsid w:val="00CF60ED"/>
    <w:rsid w:val="00CF7CB0"/>
    <w:rsid w:val="00D00972"/>
    <w:rsid w:val="00D01391"/>
    <w:rsid w:val="00D018D4"/>
    <w:rsid w:val="00D058D8"/>
    <w:rsid w:val="00D070F0"/>
    <w:rsid w:val="00D135BD"/>
    <w:rsid w:val="00D13960"/>
    <w:rsid w:val="00D14819"/>
    <w:rsid w:val="00D155BB"/>
    <w:rsid w:val="00D20565"/>
    <w:rsid w:val="00D236BE"/>
    <w:rsid w:val="00D23992"/>
    <w:rsid w:val="00D23CF9"/>
    <w:rsid w:val="00D40C15"/>
    <w:rsid w:val="00D420F4"/>
    <w:rsid w:val="00D469BE"/>
    <w:rsid w:val="00D47308"/>
    <w:rsid w:val="00D744A2"/>
    <w:rsid w:val="00D90CF4"/>
    <w:rsid w:val="00DA052E"/>
    <w:rsid w:val="00DA2896"/>
    <w:rsid w:val="00DA2953"/>
    <w:rsid w:val="00DA36D7"/>
    <w:rsid w:val="00DA6886"/>
    <w:rsid w:val="00DC5185"/>
    <w:rsid w:val="00DD1C0B"/>
    <w:rsid w:val="00DE0705"/>
    <w:rsid w:val="00DE2961"/>
    <w:rsid w:val="00DE3B4D"/>
    <w:rsid w:val="00DE64BE"/>
    <w:rsid w:val="00DF3AC6"/>
    <w:rsid w:val="00E005A6"/>
    <w:rsid w:val="00E04BF1"/>
    <w:rsid w:val="00E10FE0"/>
    <w:rsid w:val="00E23C28"/>
    <w:rsid w:val="00E23F18"/>
    <w:rsid w:val="00E400DF"/>
    <w:rsid w:val="00E42598"/>
    <w:rsid w:val="00E43225"/>
    <w:rsid w:val="00E4437D"/>
    <w:rsid w:val="00E45960"/>
    <w:rsid w:val="00E4663D"/>
    <w:rsid w:val="00E567EB"/>
    <w:rsid w:val="00E62671"/>
    <w:rsid w:val="00E64B05"/>
    <w:rsid w:val="00E65F4C"/>
    <w:rsid w:val="00E66677"/>
    <w:rsid w:val="00E71208"/>
    <w:rsid w:val="00E7183A"/>
    <w:rsid w:val="00E764F2"/>
    <w:rsid w:val="00E77AA8"/>
    <w:rsid w:val="00E8065C"/>
    <w:rsid w:val="00E908B0"/>
    <w:rsid w:val="00E90A8E"/>
    <w:rsid w:val="00E93165"/>
    <w:rsid w:val="00E93CFD"/>
    <w:rsid w:val="00E9592C"/>
    <w:rsid w:val="00E95FFB"/>
    <w:rsid w:val="00E97D00"/>
    <w:rsid w:val="00EA05C3"/>
    <w:rsid w:val="00EA77B6"/>
    <w:rsid w:val="00EB04AF"/>
    <w:rsid w:val="00EB4F21"/>
    <w:rsid w:val="00ED21A7"/>
    <w:rsid w:val="00ED47EA"/>
    <w:rsid w:val="00EE3680"/>
    <w:rsid w:val="00EE3F93"/>
    <w:rsid w:val="00EF5360"/>
    <w:rsid w:val="00F10193"/>
    <w:rsid w:val="00F127E8"/>
    <w:rsid w:val="00F12933"/>
    <w:rsid w:val="00F12CEC"/>
    <w:rsid w:val="00F13B80"/>
    <w:rsid w:val="00F27BBF"/>
    <w:rsid w:val="00F313F4"/>
    <w:rsid w:val="00F32F76"/>
    <w:rsid w:val="00F418F9"/>
    <w:rsid w:val="00F45AE4"/>
    <w:rsid w:val="00F47FD9"/>
    <w:rsid w:val="00F5128F"/>
    <w:rsid w:val="00F61E7F"/>
    <w:rsid w:val="00F66352"/>
    <w:rsid w:val="00F70974"/>
    <w:rsid w:val="00F70FCA"/>
    <w:rsid w:val="00F74218"/>
    <w:rsid w:val="00F75EFB"/>
    <w:rsid w:val="00F82EE6"/>
    <w:rsid w:val="00F83F95"/>
    <w:rsid w:val="00F90122"/>
    <w:rsid w:val="00F94D78"/>
    <w:rsid w:val="00F97E6C"/>
    <w:rsid w:val="00FA1AD7"/>
    <w:rsid w:val="00FA32BC"/>
    <w:rsid w:val="00FB1267"/>
    <w:rsid w:val="00FB502B"/>
    <w:rsid w:val="00FB625F"/>
    <w:rsid w:val="00FC0591"/>
    <w:rsid w:val="00FC3D36"/>
    <w:rsid w:val="00FC50CE"/>
    <w:rsid w:val="00FD143F"/>
    <w:rsid w:val="00FD28DB"/>
    <w:rsid w:val="00FD33EA"/>
    <w:rsid w:val="00FD53AA"/>
    <w:rsid w:val="00FD5E9B"/>
    <w:rsid w:val="00FE4DD7"/>
    <w:rsid w:val="00FE5FDE"/>
    <w:rsid w:val="00FF0285"/>
    <w:rsid w:val="00FF1986"/>
    <w:rsid w:val="00FF3C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ECE05"/>
  <w15:docId w15:val="{4DA49B3C-C3C0-4B79-8EF9-68A75C29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F91"/>
  </w:style>
  <w:style w:type="paragraph" w:styleId="Footer">
    <w:name w:val="footer"/>
    <w:basedOn w:val="Normal"/>
    <w:link w:val="FooterChar"/>
    <w:uiPriority w:val="99"/>
    <w:unhideWhenUsed/>
    <w:rsid w:val="00360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F91"/>
  </w:style>
  <w:style w:type="paragraph" w:styleId="ListBullet">
    <w:name w:val="List Bullet"/>
    <w:basedOn w:val="Normal"/>
    <w:uiPriority w:val="99"/>
    <w:unhideWhenUsed/>
    <w:rsid w:val="00183F31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7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F3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6D53"/>
  </w:style>
  <w:style w:type="character" w:styleId="FollowedHyperlink">
    <w:name w:val="FollowedHyperlink"/>
    <w:basedOn w:val="DefaultParagraphFont"/>
    <w:uiPriority w:val="99"/>
    <w:semiHidden/>
    <w:unhideWhenUsed/>
    <w:rsid w:val="009D76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4AC"/>
    <w:rPr>
      <w:color w:val="605E5C"/>
      <w:shd w:val="clear" w:color="auto" w:fill="E1DFDD"/>
    </w:rPr>
  </w:style>
  <w:style w:type="paragraph" w:customStyle="1" w:styleId="pf0">
    <w:name w:val="pf0"/>
    <w:basedOn w:val="Normal"/>
    <w:rsid w:val="001E46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1E464B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1E464B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1E464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EMAILADDRESS%">Nichole.Heimer@iconplc.com</XMLData>
</file>

<file path=customXml/item2.xml><?xml version="1.0" encoding="utf-8"?>
<XMLData TextToDisplay="%HOSTNAME%">am-svdsk16ar-07.iconcr.com</XMLData>
</file>

<file path=customXml/item3.xml><?xml version="1.0" encoding="utf-8"?>
<XMLData TextToDisplay="%USERNAME%">heimerni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13:24 24/07/2020</XML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XMLData TextToDisplay="RightsWATCHMark">4|ICN-ICN-INTERNAL|{00000000-0000-0000-0000-000000000000}</XMLData>
</file>

<file path=customXml/itemProps1.xml><?xml version="1.0" encoding="utf-8"?>
<ds:datastoreItem xmlns:ds="http://schemas.openxmlformats.org/officeDocument/2006/customXml" ds:itemID="{954EF1BC-856A-43DC-BD8F-4863F3FC433D}">
  <ds:schemaRefs/>
</ds:datastoreItem>
</file>

<file path=customXml/itemProps2.xml><?xml version="1.0" encoding="utf-8"?>
<ds:datastoreItem xmlns:ds="http://schemas.openxmlformats.org/officeDocument/2006/customXml" ds:itemID="{5E816FEE-A9ED-4F3A-B2D9-8E3BCEDF74E0}">
  <ds:schemaRefs/>
</ds:datastoreItem>
</file>

<file path=customXml/itemProps3.xml><?xml version="1.0" encoding="utf-8"?>
<ds:datastoreItem xmlns:ds="http://schemas.openxmlformats.org/officeDocument/2006/customXml" ds:itemID="{918CBCAD-4275-4A41-96C4-31956B40B90E}">
  <ds:schemaRefs/>
</ds:datastoreItem>
</file>

<file path=customXml/itemProps4.xml><?xml version="1.0" encoding="utf-8"?>
<ds:datastoreItem xmlns:ds="http://schemas.openxmlformats.org/officeDocument/2006/customXml" ds:itemID="{9BF06D06-38B8-44D2-A253-C65BA49EF29F}">
  <ds:schemaRefs/>
</ds:datastoreItem>
</file>

<file path=customXml/itemProps5.xml><?xml version="1.0" encoding="utf-8"?>
<ds:datastoreItem xmlns:ds="http://schemas.openxmlformats.org/officeDocument/2006/customXml" ds:itemID="{1129B780-3FDD-4D49-94C7-F52C168001A9}">
  <ds:schemaRefs/>
</ds:datastoreItem>
</file>

<file path=customXml/itemProps6.xml><?xml version="1.0" encoding="utf-8"?>
<ds:datastoreItem xmlns:ds="http://schemas.openxmlformats.org/officeDocument/2006/customXml" ds:itemID="{1CDA2709-FB9B-4244-8B71-3C278C2900E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DB9D9B8-03BF-4A42-A5C8-55511648D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Kovalich</dc:creator>
  <cp:lastModifiedBy>Olivia Davis</cp:lastModifiedBy>
  <cp:revision>8</cp:revision>
  <cp:lastPrinted>2024-02-08T16:15:00Z</cp:lastPrinted>
  <dcterms:created xsi:type="dcterms:W3CDTF">2024-02-20T16:38:00Z</dcterms:created>
  <dcterms:modified xsi:type="dcterms:W3CDTF">2024-02-22T16:56:00Z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4|ICN-ICN-INTERNAL|{00000000-0000-0000-0000-000000000000}</vt:lpwstr>
  </property>
</Properties>
</file>